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200" w:before="0"/>
        <w:ind/>
        <w:rPr/>
      </w:pPr>
      <w:r/>
      <w:r/>
    </w:p>
    <w:p>
      <w:pPr>
        <w:pBdr/>
        <w:spacing w:after="120" w:before="0"/>
        <w:ind/>
        <w:jc w:val="center"/>
        <w:rPr/>
      </w:pPr>
      <w:r>
        <w:rPr>
          <w:rFonts w:ascii="Arial" w:hAnsi="Arial" w:eastAsia="Arial" w:cs="Arial"/>
          <w:b/>
          <w:bCs/>
          <w:color w:val="1f3864"/>
          <w:sz w:val="56"/>
          <w:szCs w:val="56"/>
        </w:rPr>
        <w:t xml:space="preserve">AFTER THE BUBBLE</w:t>
      </w:r>
      <w:r/>
    </w:p>
    <w:p>
      <w:pPr>
        <w:pBdr/>
        <w:spacing w:after="80" w:before="0"/>
        <w:ind/>
        <w:rPr/>
      </w:pPr>
      <w:r/>
      <w:r/>
    </w:p>
    <w:p>
      <w:pPr>
        <w:pBdr/>
        <w:spacing w:after="120" w:before="0"/>
        <w:ind/>
        <w:jc w:val="center"/>
        <w:rPr/>
      </w:pPr>
      <w:r>
        <w:rPr>
          <w:rFonts w:ascii="Arial" w:hAnsi="Arial" w:eastAsia="Arial" w:cs="Arial"/>
          <w:b w:val="0"/>
          <w:bCs w:val="0"/>
          <w:color w:val="2e5090"/>
          <w:sz w:val="30"/>
          <w:szCs w:val="30"/>
        </w:rPr>
        <w:t xml:space="preserve">A Framework for Second-Generation LLM Knowledge Architecture</w:t>
      </w:r>
      <w:r/>
    </w:p>
    <w:p>
      <w:pPr>
        <w:pBdr/>
        <w:spacing w:after="120" w:before="0"/>
        <w:ind/>
        <w:rPr/>
      </w:pPr>
      <w:r/>
      <w:r/>
    </w:p>
    <w:p>
      <w:pPr>
        <w:pBdr>
          <w:bottom w:val="single" w:color="2e5090" w:sz="8" w:space="1"/>
        </w:pBdr>
        <w:spacing w:after="240" w:before="0"/>
        <w:ind/>
        <w:rPr/>
      </w:pPr>
      <w:r/>
      <w:r/>
    </w:p>
    <w:p>
      <w:pPr>
        <w:pBdr/>
        <w:spacing w:after="200" w:before="0"/>
        <w:ind/>
        <w:rPr/>
      </w:pPr>
      <w:r/>
      <w:r/>
    </w:p>
    <w:p>
      <w:pPr>
        <w:pBdr/>
        <w:spacing w:after="120" w:before="0"/>
        <w:ind/>
        <w:jc w:val="center"/>
        <w:rPr/>
      </w:pPr>
      <w:r>
        <w:rPr>
          <w:rFonts w:ascii="Arial" w:hAnsi="Arial" w:eastAsia="Arial" w:cs="Arial"/>
          <w:b/>
          <w:bCs/>
          <w:color w:val="1f3864"/>
          <w:sz w:val="28"/>
          <w:szCs w:val="28"/>
        </w:rPr>
        <w:t xml:space="preserve">Hierarchical Epistemological AI Layering (HEAL)</w:t>
      </w:r>
      <w:r/>
    </w:p>
    <w:p>
      <w:pPr>
        <w:pBdr/>
        <w:spacing w:after="120" w:before="0"/>
        <w:ind/>
        <w:jc w:val="center"/>
        <w:rPr/>
      </w:pPr>
      <w:r>
        <w:rPr>
          <w:rFonts w:ascii="Arial" w:hAnsi="Arial" w:eastAsia="Arial" w:cs="Arial"/>
          <w:b w:val="0"/>
          <w:bCs w:val="0"/>
          <w:color w:val="555555"/>
          <w:sz w:val="22"/>
          <w:szCs w:val="22"/>
        </w:rPr>
        <w:t xml:space="preserve">A Design Specification for What Comes Next</w:t>
      </w:r>
      <w:r/>
    </w:p>
    <w:p>
      <w:pPr>
        <w:pBdr/>
        <w:spacing w:after="600" w:before="0"/>
        <w:ind/>
        <w:rPr/>
      </w:pPr>
      <w:r/>
      <w:r/>
    </w:p>
    <w:p>
      <w:pPr>
        <w:pBdr/>
        <w:spacing w:after="120" w:before="0"/>
        <w:ind/>
        <w:jc w:val="center"/>
        <w:rPr/>
      </w:pPr>
      <w:r>
        <w:rPr>
          <w:rFonts w:ascii="Arial" w:hAnsi="Arial" w:eastAsia="Arial" w:cs="Arial"/>
          <w:b w:val="0"/>
          <w:bCs w:val="0"/>
          <w:color w:val="555555"/>
          <w:sz w:val="22"/>
          <w:szCs w:val="22"/>
        </w:rPr>
        <w:t xml:space="preserve">Anthony Farson</w:t>
      </w:r>
      <w:r/>
    </w:p>
    <w:p>
      <w:pPr>
        <w:pBdr/>
        <w:spacing w:after="120" w:before="0"/>
        <w:ind/>
        <w:jc w:val="center"/>
        <w:rPr/>
      </w:pPr>
      <w:r>
        <w:rPr>
          <w:rFonts w:ascii="Arial" w:hAnsi="Arial" w:eastAsia="Arial" w:cs="Arial"/>
          <w:b w:val="0"/>
          <w:bCs w:val="0"/>
          <w:color w:val="888888"/>
          <w:sz w:val="20"/>
          <w:szCs w:val="20"/>
        </w:rPr>
        <w:t xml:space="preserve">2026</w:t>
      </w:r>
      <w:r/>
    </w:p>
    <w:p>
      <w:pPr>
        <w:pBdr/>
        <w:spacing w:after="800" w:before="0"/>
        <w:ind/>
        <w:rPr/>
      </w:pPr>
      <w:r/>
      <w:r/>
    </w:p>
    <w:tbl>
      <w:tblPr>
        <w:tblW w:w="7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Pr w:horzAnchor="margin" w:tblpX="1080" w:vertAnchor="text" w:tblpY="1" w:leftFromText="0" w:topFromText="0" w:rightFromText="0" w:bottomFromText="0"/>
        <w:tblLook w:val="04A0" w:firstRow="1" w:lastRow="0" w:firstColumn="1" w:lastColumn="0" w:noHBand="0" w:noVBand="1"/>
      </w:tblPr>
      <w:tblGrid>
        <w:gridCol w:w="7200"/>
      </w:tblGrid>
      <w:tr>
        <w:trPr/>
        <w:tc>
          <w:tcPr>
            <w:shd w:val="clear" w:color="auto" w:fill="f5f8fd"/>
            <w:tcBorders>
              <w:top w:val="single" w:color="cccccc" w:sz="4" w:space="0"/>
              <w:left w:val="single" w:color="2e5090" w:sz="18" w:space="0"/>
              <w:bottom w:val="single" w:color="cccccc" w:sz="4" w:space="0"/>
              <w:right w:val="single" w:color="cccccc" w:sz="4" w:space="0"/>
            </w:tcBorders>
            <w:tcMar>
              <w:left w:w="200" w:type="dxa"/>
              <w:top w:w="140" w:type="dxa"/>
              <w:right w:w="160" w:type="dxa"/>
              <w:bottom w:w="140" w:type="dxa"/>
            </w:tcMar>
            <w:tcW w:w="7200" w:type="dxa"/>
          </w:tcPr>
          <w:p>
            <w:pPr>
              <w:pBdr/>
              <w:spacing w:after="0" w:before="0"/>
              <w:ind/>
              <w:rPr/>
            </w:pPr>
            <w:r>
              <w:rPr>
                <w:rFonts w:ascii="Arial" w:hAnsi="Arial" w:eastAsia="Arial" w:cs="Arial"/>
                <w:b/>
                <w:bCs/>
                <w:color w:val="1f3864"/>
                <w:sz w:val="18"/>
                <w:szCs w:val="18"/>
              </w:rPr>
              <w:t xml:space="preserve">Author's Note:  </w:t>
            </w:r>
            <w:r>
              <w:rPr>
                <w:rFonts w:ascii="Arial" w:hAnsi="Arial" w:eastAsia="Arial" w:cs="Arial"/>
                <w:i/>
                <w:iCs/>
                <w:color w:val="555555"/>
                <w:sz w:val="18"/>
                <w:szCs w:val="18"/>
              </w:rPr>
              <w:t xml:space="preserve">Th</w:t>
            </w:r>
            <w:r>
              <w:rPr>
                <w:rFonts w:ascii="Arial" w:hAnsi="Arial" w:eastAsia="Arial" w:cs="Arial"/>
                <w:i/>
                <w:iCs/>
                <w:color w:val="555555"/>
                <w:sz w:val="18"/>
                <w:szCs w:val="18"/>
              </w:rPr>
              <w:t xml:space="preserve">is whitepaper was developed with AI-assisted research and drafting — a deliberate methodological choice that reflects the author’s position that AI, used thoughtfully and with transparency, already functions as a legitimate intellectual collaborator. The f</w:t>
            </w:r>
            <w:r>
              <w:rPr>
                <w:rFonts w:ascii="Arial" w:hAnsi="Arial" w:eastAsia="Arial" w:cs="Arial"/>
                <w:i/>
                <w:iCs/>
                <w:color w:val="555555"/>
                <w:sz w:val="18"/>
                <w:szCs w:val="18"/>
              </w:rPr>
              <w:t xml:space="preserve">ramework, conclusions, and positions expressed are entirely the author’s own. The decision to use AI in developing a framework for better AI architecture is intentional, and the author considers it the appropriate way to demonstrate the thesis in practice.</w:t>
            </w:r>
            <w:r/>
          </w:p>
        </w:tc>
      </w:tr>
    </w:tbl>
    <w:p>
      <w:pPr>
        <w:pBdr/>
        <w:spacing/>
        <w:ind/>
        <w:rPr/>
      </w:pPr>
      <w:r>
        <w:br w:type="page" w:clear="all"/>
      </w:r>
      <w:r/>
    </w:p>
    <w:p>
      <w:pPr>
        <w:pStyle w:val="915"/>
        <w:pBdr/>
        <w:spacing/>
        <w:ind/>
        <w:rPr/>
      </w:pPr>
      <w:r>
        <w:rPr>
          <w:rFonts w:ascii="Arial" w:hAnsi="Arial" w:eastAsia="Arial" w:cs="Arial"/>
          <w:b/>
          <w:bCs/>
          <w:color w:val="1f3864"/>
          <w:sz w:val="34"/>
          <w:szCs w:val="34"/>
        </w:rPr>
        <w:t xml:space="preserve">Executive Summary</w:t>
      </w:r>
      <w:r/>
    </w:p>
    <w:p>
      <w:pPr>
        <w:pBdr>
          <w:bottom w:val="single" w:color="2e5090" w:sz="6" w:space="1"/>
        </w:pBdr>
        <w:spacing w:after="280" w:before="0"/>
        <w:ind/>
        <w:rPr/>
      </w:pPr>
      <w:r/>
      <w:r/>
    </w:p>
    <w:p>
      <w:pPr>
        <w:pBdr/>
        <w:spacing w:after="180" w:before="0"/>
        <w:ind/>
        <w:jc w:val="both"/>
        <w:rPr/>
      </w:pPr>
      <w:r>
        <w:rPr>
          <w:rFonts w:ascii="Arial" w:hAnsi="Arial" w:eastAsia="Arial" w:cs="Arial"/>
          <w:sz w:val="22"/>
          <w:szCs w:val="22"/>
        </w:rPr>
        <w:t xml:space="preserve">The first generation of large language models delivered a remarkable proof of concept: at sufficient scale, models trained on broad data corpora can produce </w:t>
      </w:r>
      <w:r>
        <w:rPr>
          <w:rFonts w:ascii="Arial" w:hAnsi="Arial" w:eastAsia="Arial" w:cs="Arial"/>
          <w:sz w:val="22"/>
          <w:szCs w:val="22"/>
        </w:rPr>
        <w:t xml:space="preserve">outputs that rival — and in many domains exceed — the quality of expert human work. The investment community responded accordingly, committing hundreds of billions of dollars to infrastructure, compute, and capability development across a handful of years.</w:t>
      </w:r>
      <w:r/>
    </w:p>
    <w:p>
      <w:pPr>
        <w:pBdr/>
        <w:spacing w:after="180" w:before="0"/>
        <w:ind/>
        <w:jc w:val="both"/>
        <w:rPr/>
      </w:pPr>
      <w:r>
        <w:rPr>
          <w:rFonts w:ascii="Arial" w:hAnsi="Arial" w:eastAsia="Arial" w:cs="Arial"/>
          <w:sz w:val="22"/>
          <w:szCs w:val="22"/>
        </w:rPr>
        <w:t xml:space="preserve">That investment was not misguided. It was necessary. First-generation LLMs proved the concept works.</w:t>
      </w:r>
      <w:r/>
    </w:p>
    <w:p>
      <w:pPr>
        <w:pBdr/>
        <w:spacing w:after="180" w:before="0"/>
        <w:ind/>
        <w:jc w:val="both"/>
        <w:rPr/>
      </w:pPr>
      <w:r>
        <w:rPr>
          <w:rFonts w:ascii="Arial" w:hAnsi="Arial" w:eastAsia="Arial" w:cs="Arial"/>
          <w:sz w:val="22"/>
          <w:szCs w:val="22"/>
        </w:rPr>
        <w:t xml:space="preserve">What they did not prove is that the current architectural foundation is adequate for the enterpri</w:t>
      </w:r>
      <w:r>
        <w:rPr>
          <w:rFonts w:ascii="Arial" w:hAnsi="Arial" w:eastAsia="Arial" w:cs="Arial"/>
          <w:sz w:val="22"/>
          <w:szCs w:val="22"/>
        </w:rPr>
        <w:t xml:space="preserve">se-grade, liability-bearing, trust-dependent applications the market now demands. The evidence is accumulating that it is not. Hallucination rates remain stubbornly persistent. Confidence is decorrelated from accuracy in ways invisible to end users. Bias i</w:t>
      </w:r>
      <w:r>
        <w:rPr>
          <w:rFonts w:ascii="Arial" w:hAnsi="Arial" w:eastAsia="Arial" w:cs="Arial"/>
          <w:sz w:val="22"/>
          <w:szCs w:val="22"/>
        </w:rPr>
        <w:t xml:space="preserve">s embedded at the substrate level, shaping outputs in ways that neither operators nor users can audit, choose, or correct. These systems do bad reasoning really fast — and at scale, fast bad reasoning is not just a product liability. It is a systemic risk.</w:t>
      </w:r>
      <w:r/>
    </w:p>
    <w:p>
      <w:pPr>
        <w:pBdr/>
        <w:spacing w:after="180" w:before="0"/>
        <w:ind/>
        <w:jc w:val="both"/>
        <w:rPr/>
      </w:pPr>
      <w:r>
        <w:rPr>
          <w:rFonts w:ascii="Arial" w:hAnsi="Arial" w:eastAsia="Arial" w:cs="Arial"/>
          <w:sz w:val="22"/>
          <w:szCs w:val="22"/>
        </w:rPr>
        <w:t xml:space="preserve">A market correction is coming. Corrections in transformative technology cycles are not failures — they are the mechanism by which the market separates the proof of concept from the mature product. The do</w:t>
      </w:r>
      <w:r>
        <w:rPr>
          <w:rFonts w:ascii="Arial" w:hAnsi="Arial" w:eastAsia="Arial" w:cs="Arial"/>
          <w:sz w:val="22"/>
          <w:szCs w:val="22"/>
        </w:rPr>
        <w:t xml:space="preserve">t-com correction of 2000–2002 did not kill the internet. It killed the companies that treated infrastructure as a product and cleared the ground for the companies that built what the internet actually needed. The AI correction will follow the same pattern.</w:t>
      </w:r>
      <w:r/>
    </w:p>
    <w:p>
      <w:pPr>
        <w:pBdr/>
        <w:spacing w:after="180" w:before="0"/>
        <w:ind/>
        <w:jc w:val="both"/>
        <w:rPr/>
      </w:pPr>
      <w:r>
        <w:rPr>
          <w:rFonts w:ascii="Arial" w:hAnsi="Arial" w:eastAsia="Arial" w:cs="Arial"/>
          <w:sz w:val="22"/>
          <w:szCs w:val="22"/>
        </w:rPr>
        <w:t xml:space="preserve">The question for decision makers is not whether the correction is coming. It is whether to be positioned to use it.</w:t>
      </w:r>
      <w:r/>
    </w:p>
    <w:p>
      <w:pPr>
        <w:pBdr/>
        <w:spacing w:after="120" w:before="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60"/>
      </w:tblGrid>
      <w:tr>
        <w:trPr/>
        <w:tc>
          <w:tcPr>
            <w:shd w:val="clear" w:color="auto" w:fill="eef2f8"/>
            <w:tcBorders>
              <w:top w:val="single" w:color="d0d8e8" w:sz="1" w:space="0"/>
              <w:left w:val="single" w:color="2e5090" w:sz="18" w:space="0"/>
              <w:bottom w:val="single" w:color="d0d8e8" w:sz="1" w:space="0"/>
              <w:right w:val="single" w:color="d0d8e8" w:sz="1" w:space="0"/>
            </w:tcBorders>
            <w:tcMar>
              <w:left w:w="200" w:type="dxa"/>
              <w:top w:w="120" w:type="dxa"/>
              <w:right w:w="160" w:type="dxa"/>
              <w:bottom w:w="120" w:type="dxa"/>
            </w:tcMar>
            <w:tcW w:w="9360" w:type="dxa"/>
          </w:tcPr>
          <w:p>
            <w:pPr>
              <w:pBdr/>
              <w:spacing w:after="0" w:before="0"/>
              <w:ind/>
              <w:jc w:val="both"/>
              <w:rPr/>
            </w:pPr>
            <w:r>
              <w:rPr>
                <w:rFonts w:ascii="Arial" w:hAnsi="Arial" w:eastAsia="Arial" w:cs="Arial"/>
                <w:i/>
                <w:iCs/>
                <w:color w:val="1f3864"/>
                <w:sz w:val="22"/>
                <w:szCs w:val="22"/>
              </w:rPr>
              <w:t xml:space="preserve">Hierarchical Epistemological AI Layering (HEAL) is a design specification for what comes after the correction. It is not a patch for existing models. It is </w:t>
            </w:r>
            <w:r>
              <w:rPr>
                <w:rFonts w:ascii="Arial" w:hAnsi="Arial" w:eastAsia="Arial" w:cs="Arial"/>
                <w:i/>
                <w:iCs/>
                <w:color w:val="1f3864"/>
                <w:sz w:val="22"/>
                <w:szCs w:val="22"/>
              </w:rPr>
              <w:t xml:space="preserve">a first-principles architectural framework built on a single foundational premise: not all information is epistemologically equivalent, and the decision to treat it as if it were is the root cause of the reliability failures that will drive the correction.</w:t>
            </w:r>
            <w:r/>
          </w:p>
        </w:tc>
      </w:tr>
    </w:tbl>
    <w:p>
      <w:pPr>
        <w:pBdr/>
        <w:spacing w:after="180" w:before="0"/>
        <w:ind/>
        <w:rPr/>
      </w:pPr>
      <w:r/>
      <w:r/>
    </w:p>
    <w:p>
      <w:pPr>
        <w:pBdr/>
        <w:spacing w:after="180" w:before="0"/>
        <w:ind/>
        <w:jc w:val="both"/>
        <w:rPr/>
      </w:pPr>
      <w:r>
        <w:rPr>
          <w:rFonts w:ascii="Arial" w:hAnsi="Arial" w:eastAsia="Arial" w:cs="Arial"/>
          <w:sz w:val="22"/>
          <w:szCs w:val="22"/>
        </w:rPr>
        <w:t xml:space="preserve">HEAL organizes AI k</w:t>
      </w:r>
      <w:r>
        <w:rPr>
          <w:rFonts w:ascii="Arial" w:hAnsi="Arial" w:eastAsia="Arial" w:cs="Arial"/>
          <w:sz w:val="22"/>
          <w:szCs w:val="22"/>
        </w:rPr>
        <w:t xml:space="preserve">nowledge into four stratified tiers of decreasing epistemic confidence — from empirically verified, reproducible facts through scientific theory, domain-specific expertise, and explicitly labeled social and interpretive content. Each tier carries distinct </w:t>
      </w:r>
      <w:r>
        <w:rPr>
          <w:rFonts w:ascii="Arial" w:hAnsi="Arial" w:eastAsia="Arial" w:cs="Arial"/>
          <w:sz w:val="22"/>
          <w:szCs w:val="22"/>
        </w:rPr>
        <w:t xml:space="preserve">governance rules, ingestion standards, confidence metadata, and modification requirements. The result is an AI system that knows what it knows, knows what it thinks, and knows what it prefers — and is architecturally required to communicate the difference.</w:t>
      </w:r>
      <w:r/>
    </w:p>
    <w:p>
      <w:pPr>
        <w:pBdr/>
        <w:spacing w:after="180" w:before="0"/>
        <w:ind/>
        <w:jc w:val="both"/>
        <w:rPr/>
      </w:pPr>
      <w:r>
        <w:rPr>
          <w:rFonts w:ascii="Arial" w:hAnsi="Arial" w:eastAsia="Arial" w:cs="Arial"/>
          <w:sz w:val="22"/>
          <w:szCs w:val="22"/>
        </w:rPr>
        <w:t xml:space="preserve">This paper makes the case that HEAL is not merely a technical improvement. It is the architectural foundation for a platform b</w:t>
      </w:r>
      <w:r>
        <w:rPr>
          <w:rFonts w:ascii="Arial" w:hAnsi="Arial" w:eastAsia="Arial" w:cs="Arial"/>
          <w:sz w:val="22"/>
          <w:szCs w:val="22"/>
        </w:rPr>
        <w:t xml:space="preserve">usiness model that can command the enterprise trust premium that transforms a commodity AI market into a differentiated one — and that positions its builders to define the second generation of AI development rather than merely survive its first correction.</w:t>
      </w:r>
      <w:r/>
    </w:p>
    <w:p>
      <w:pPr>
        <w:pBdr/>
        <w:spacing/>
        <w:ind/>
        <w:rPr/>
      </w:pPr>
      <w:r>
        <w:br w:type="page" w:clear="all"/>
      </w:r>
      <w:r/>
    </w:p>
    <w:p>
      <w:pPr>
        <w:pStyle w:val="915"/>
        <w:pBdr/>
        <w:spacing/>
        <w:ind/>
        <w:rPr/>
      </w:pPr>
      <w:r>
        <w:rPr>
          <w:rFonts w:ascii="Arial" w:hAnsi="Arial" w:eastAsia="Arial" w:cs="Arial"/>
          <w:b/>
          <w:bCs/>
          <w:color w:val="1f3864"/>
          <w:sz w:val="34"/>
          <w:szCs w:val="34"/>
        </w:rPr>
        <w:t xml:space="preserve">Section 1 — The Diagnosis: What Went Wrong</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The problem was never the technology. The problem was what we fed it — and the foundational assumption that all of it was equivalent.</w:t>
      </w:r>
      <w:r/>
    </w:p>
    <w:p>
      <w:pPr>
        <w:pBdr/>
        <w:spacing w:after="180" w:before="0"/>
        <w:ind/>
        <w:jc w:val="both"/>
        <w:rPr/>
      </w:pPr>
      <w:r>
        <w:rPr>
          <w:rFonts w:ascii="Arial" w:hAnsi="Arial" w:eastAsia="Arial" w:cs="Arial"/>
          <w:sz w:val="22"/>
          <w:szCs w:val="22"/>
        </w:rPr>
        <w:t xml:space="preserve">The large language model revolution was built on a foundational assumption so obvious </w:t>
      </w:r>
      <w:r>
        <w:rPr>
          <w:rFonts w:ascii="Arial" w:hAnsi="Arial" w:eastAsia="Arial" w:cs="Arial"/>
          <w:sz w:val="22"/>
          <w:szCs w:val="22"/>
        </w:rPr>
        <w:t xml:space="preserve">it was rarely examined: that more data produces better models. Feed the model the internet. Feed it books, research papers, code repositories, social media, forums, documentation, fiction, journalism. Feed it everything and let the mathematics sort it out.</w:t>
      </w:r>
      <w:r/>
    </w:p>
    <w:p>
      <w:pPr>
        <w:pBdr/>
        <w:spacing w:after="180" w:before="0"/>
        <w:ind/>
        <w:jc w:val="both"/>
        <w:rPr/>
      </w:pPr>
      <w:r>
        <w:rPr>
          <w:rFonts w:ascii="Arial" w:hAnsi="Arial" w:eastAsia="Arial" w:cs="Arial"/>
          <w:sz w:val="22"/>
          <w:szCs w:val="22"/>
        </w:rPr>
        <w:t xml:space="preserve">This assumptio</w:t>
      </w:r>
      <w:r>
        <w:rPr>
          <w:rFonts w:ascii="Arial" w:hAnsi="Arial" w:eastAsia="Arial" w:cs="Arial"/>
          <w:sz w:val="22"/>
          <w:szCs w:val="22"/>
        </w:rPr>
        <w:t xml:space="preserve">n produced systems of remarkable capability. It also produced systems with a structural defect at the substrate level — one that no amount of additional compute, fine-tuning, or post-hoc alignment work can fully correct. The defect is epistemic flattening.</w:t>
      </w:r>
      <w:r/>
    </w:p>
    <w:p>
      <w:pPr>
        <w:pStyle w:val="916"/>
        <w:pBdr/>
        <w:spacing/>
        <w:ind/>
        <w:rPr/>
      </w:pPr>
      <w:r>
        <w:rPr>
          <w:rFonts w:ascii="Arial" w:hAnsi="Arial" w:eastAsia="Arial" w:cs="Arial"/>
          <w:b/>
          <w:bCs/>
          <w:color w:val="2e5090"/>
          <w:sz w:val="26"/>
          <w:szCs w:val="26"/>
        </w:rPr>
        <w:t xml:space="preserve">Epistemic Flattening: The Core Defect</w:t>
      </w:r>
      <w:r/>
    </w:p>
    <w:p>
      <w:pPr>
        <w:pBdr/>
        <w:spacing w:after="180" w:before="0"/>
        <w:ind/>
        <w:jc w:val="both"/>
        <w:rPr/>
      </w:pPr>
      <w:r>
        <w:rPr>
          <w:rFonts w:ascii="Arial" w:hAnsi="Arial" w:eastAsia="Arial" w:cs="Arial"/>
          <w:sz w:val="22"/>
          <w:szCs w:val="22"/>
        </w:rPr>
        <w:t xml:space="preserve">In the current training paradigm, a peer-reviewed paper carries the same weight in the training pipeline as a confident blog post about the same subject. A v</w:t>
      </w:r>
      <w:r>
        <w:rPr>
          <w:rFonts w:ascii="Arial" w:hAnsi="Arial" w:eastAsia="Arial" w:cs="Arial"/>
          <w:sz w:val="22"/>
          <w:szCs w:val="22"/>
        </w:rPr>
        <w:t xml:space="preserve">erified historical record is processed through the same architecture as speculation that disputes it. A mathematical proof and a persuasive opinion about that proof are indistinguishable to the model at the level where it matters — the level of confidence.</w:t>
      </w:r>
      <w:r/>
    </w:p>
    <w:p>
      <w:pPr>
        <w:pBdr/>
        <w:spacing w:after="180" w:before="0"/>
        <w:ind/>
        <w:jc w:val="both"/>
        <w:rPr/>
      </w:pPr>
      <w:r>
        <w:rPr>
          <w:rFonts w:ascii="Arial" w:hAnsi="Arial" w:eastAsia="Arial" w:cs="Arial"/>
          <w:sz w:val="22"/>
          <w:szCs w:val="22"/>
        </w:rPr>
        <w:t xml:space="preserve">The result is a system that has absorbed an enormous amount of human knowledge and an enormous amount of human error in roughly equal measure, with no reliable mechanism to distinguish the</w:t>
      </w:r>
      <w:r>
        <w:rPr>
          <w:rFonts w:ascii="Arial" w:hAnsi="Arial" w:eastAsia="Arial" w:cs="Arial"/>
          <w:sz w:val="22"/>
          <w:szCs w:val="22"/>
        </w:rPr>
        <w:t xml:space="preserve">m. The model does not know what it knows. It knows how to produce outputs that pattern-match to what confident, authoritative knowledge sounds like. Those are not the same thing, and in high-stakes enterprise contexts the difference is the entire ballgame.</w:t>
      </w:r>
      <w:r/>
    </w:p>
    <w:p>
      <w:pPr>
        <w:pBdr/>
        <w:spacing w:after="180" w:before="0"/>
        <w:ind/>
        <w:jc w:val="both"/>
        <w:rPr/>
      </w:pPr>
      <w:r>
        <w:rPr>
          <w:rFonts w:ascii="Arial" w:hAnsi="Arial" w:eastAsia="Arial" w:cs="Arial"/>
          <w:sz w:val="22"/>
          <w:szCs w:val="22"/>
        </w:rPr>
        <w:t xml:space="preserve">Bender et al. (2021) framed this with precision in their foundational analysis of large language model risks: the danger is not merely that these systems produce errors, but that they produce errors with the fluency and </w:t>
      </w:r>
      <w:r>
        <w:rPr>
          <w:rFonts w:ascii="Arial" w:hAnsi="Arial" w:eastAsia="Arial" w:cs="Arial"/>
          <w:sz w:val="22"/>
          <w:szCs w:val="22"/>
        </w:rPr>
        <w:t xml:space="preserve">confidence of expertise. A system optimized to sound like it knows things is not equivalent to a system that knows things. Current architectures cannot reliably distinguish between these two outputs, because the distinction was never made at training time.</w:t>
      </w:r>
      <w:r/>
    </w:p>
    <w:p>
      <w:pPr>
        <w:pStyle w:val="916"/>
        <w:pBdr/>
        <w:spacing/>
        <w:ind/>
        <w:rPr/>
      </w:pPr>
      <w:r>
        <w:rPr>
          <w:rFonts w:ascii="Arial" w:hAnsi="Arial" w:eastAsia="Arial" w:cs="Arial"/>
          <w:b/>
          <w:bCs/>
          <w:color w:val="2e5090"/>
          <w:sz w:val="26"/>
          <w:szCs w:val="26"/>
        </w:rPr>
        <w:t xml:space="preserve">The RLHF Problem</w:t>
      </w:r>
      <w:r/>
    </w:p>
    <w:p>
      <w:pPr>
        <w:pBdr/>
        <w:spacing w:after="180" w:before="0"/>
        <w:ind/>
        <w:jc w:val="both"/>
        <w:rPr/>
      </w:pPr>
      <w:r>
        <w:rPr>
          <w:rFonts w:ascii="Arial" w:hAnsi="Arial" w:eastAsia="Arial" w:cs="Arial"/>
          <w:sz w:val="22"/>
          <w:szCs w:val="22"/>
        </w:rPr>
        <w:t xml:space="preserve">Reinforcement Learning from Human Feedback — the alignment technique used by most current frontier models — compounds the epistemic flattening problem in ways that were not fully anticipated at scale.</w:t>
      </w:r>
      <w:r/>
    </w:p>
    <w:p>
      <w:pPr>
        <w:pBdr/>
        <w:spacing w:after="180" w:before="0"/>
        <w:ind/>
        <w:jc w:val="both"/>
        <w:rPr/>
      </w:pPr>
      <w:r>
        <w:rPr>
          <w:rFonts w:ascii="Arial" w:hAnsi="Arial" w:eastAsia="Arial" w:cs="Arial"/>
          <w:sz w:val="22"/>
          <w:szCs w:val="22"/>
        </w:rPr>
        <w:t xml:space="preserve">RLHF optimizes for human preference, not epistemic accuracy. Human raters prefer responses that are confident, fluent, and complete. They penalize respo</w:t>
      </w:r>
      <w:r>
        <w:rPr>
          <w:rFonts w:ascii="Arial" w:hAnsi="Arial" w:eastAsia="Arial" w:cs="Arial"/>
          <w:sz w:val="22"/>
          <w:szCs w:val="22"/>
        </w:rPr>
        <w:t xml:space="preserve">nses that express genuine uncertainty, heavily qualify claims, or decline to answer when the model is unsure. The optimization signal RLHF sends over billions of gradient updates is systematic: sound authoritative, even when accuracy would require hedging.</w:t>
      </w:r>
      <w:r/>
    </w:p>
    <w:p>
      <w:pPr>
        <w:pBdr/>
        <w:spacing w:after="180" w:before="0"/>
        <w:ind/>
        <w:jc w:val="both"/>
        <w:rPr/>
      </w:pPr>
      <w:r>
        <w:rPr>
          <w:rFonts w:ascii="Arial" w:hAnsi="Arial" w:eastAsia="Arial" w:cs="Arial"/>
          <w:sz w:val="22"/>
          <w:szCs w:val="22"/>
        </w:rPr>
        <w:t xml:space="preserve">Ouyang et al. (2022), describing the training process underlying most major current models, acknowledged this tension explicitly — the </w:t>
      </w:r>
      <w:r>
        <w:rPr>
          <w:rFonts w:ascii="Arial" w:hAnsi="Arial" w:eastAsia="Arial" w:cs="Arial"/>
          <w:sz w:val="22"/>
          <w:szCs w:val="22"/>
        </w:rPr>
        <w:t xml:space="preserve">difficulty of training for honest calibration when human raters reward confident fluency. The result is a class of systems trained, through the very process intended to align them, toward the appearance of knowledge rather than its accurate representation.</w:t>
      </w:r>
      <w:r/>
    </w:p>
    <w:p>
      <w:pPr>
        <w:pBdr/>
        <w:spacing w:after="180" w:before="0"/>
        <w:ind/>
        <w:jc w:val="both"/>
        <w:rPr/>
      </w:pPr>
      <w:r>
        <w:rPr>
          <w:rFonts w:ascii="Arial" w:hAnsi="Arial" w:eastAsia="Arial" w:cs="Arial"/>
          <w:sz w:val="22"/>
          <w:szCs w:val="22"/>
        </w:rPr>
        <w:t xml:space="preserve">Kadavath et al. (2022) confirmed this at the calibration level: current large language models are systematically overcon</w:t>
      </w:r>
      <w:r>
        <w:rPr>
          <w:rFonts w:ascii="Arial" w:hAnsi="Arial" w:eastAsia="Arial" w:cs="Arial"/>
          <w:sz w:val="22"/>
          <w:szCs w:val="22"/>
        </w:rPr>
        <w:t xml:space="preserve">fident in domains where training data is noisy, contested, or sparse — precisely the domains where confident wrong outputs are most dangerous. The models do not know what they do not know, because the training process did not reward knowing the difference.</w:t>
      </w:r>
      <w:r/>
    </w:p>
    <w:p>
      <w:pPr>
        <w:pStyle w:val="916"/>
        <w:pBdr/>
        <w:spacing/>
        <w:ind/>
        <w:rPr/>
      </w:pPr>
      <w:r>
        <w:rPr>
          <w:rFonts w:ascii="Arial" w:hAnsi="Arial" w:eastAsia="Arial" w:cs="Arial"/>
          <w:b/>
          <w:bCs/>
          <w:color w:val="2e5090"/>
          <w:sz w:val="26"/>
          <w:szCs w:val="26"/>
        </w:rPr>
        <w:t xml:space="preserve">The Invisible Layer 4 Problem</w:t>
      </w:r>
      <w:r/>
    </w:p>
    <w:p>
      <w:pPr>
        <w:pBdr/>
        <w:spacing w:after="180" w:before="0"/>
        <w:ind/>
        <w:jc w:val="both"/>
        <w:rPr/>
      </w:pPr>
      <w:r>
        <w:rPr>
          <w:rFonts w:ascii="Arial" w:hAnsi="Arial" w:eastAsia="Arial" w:cs="Arial"/>
          <w:sz w:val="22"/>
          <w:szCs w:val="22"/>
        </w:rPr>
        <w:t xml:space="preserve">Every current frontier model carries what we will call, anticipating the HEAL framework, an implicit Layer 4: a set of communicative preferences, cultural framings, tonal defaults, and value-adj</w:t>
      </w:r>
      <w:r>
        <w:rPr>
          <w:rFonts w:ascii="Arial" w:hAnsi="Arial" w:eastAsia="Arial" w:cs="Arial"/>
          <w:sz w:val="22"/>
          <w:szCs w:val="22"/>
        </w:rPr>
        <w:t xml:space="preserve">acent commitments baked into the substrate during training. Nobody chose this Layer 4. Nobody can fully audit it. It cannot be cleanly separated from the factual content the model produces, because it was never architecturally separated in the first place.</w:t>
      </w:r>
      <w:r/>
    </w:p>
    <w:p>
      <w:pPr>
        <w:pBdr/>
        <w:spacing w:after="180" w:before="0"/>
        <w:ind/>
        <w:jc w:val="both"/>
        <w:rPr/>
      </w:pPr>
      <w:r>
        <w:rPr>
          <w:rFonts w:ascii="Arial" w:hAnsi="Arial" w:eastAsia="Arial" w:cs="Arial"/>
          <w:sz w:val="22"/>
          <w:szCs w:val="22"/>
        </w:rPr>
        <w:t xml:space="preserve">This is not primarily a political problem, though it manifests as one in public discourse. It is an architectural problem with direct commercial implications. An enterprise customer deploying a model in a r</w:t>
      </w:r>
      <w:r>
        <w:rPr>
          <w:rFonts w:ascii="Arial" w:hAnsi="Arial" w:eastAsia="Arial" w:cs="Arial"/>
          <w:sz w:val="22"/>
          <w:szCs w:val="22"/>
        </w:rPr>
        <w:t xml:space="preserve">egulated industry cannot tell a regulator what value commitments are embedded in that model’s outputs — because there is no interface at which to inspect them. The model’s preferences look like its knowledge, because they were built from the same pipeline.</w:t>
      </w:r>
      <w:r/>
    </w:p>
    <w:p>
      <w:pPr>
        <w:pBdr/>
        <w:spacing w:after="180" w:before="0"/>
        <w:ind/>
        <w:jc w:val="both"/>
        <w:rPr/>
      </w:pPr>
      <w:r>
        <w:rPr>
          <w:rFonts w:ascii="Arial" w:hAnsi="Arial" w:eastAsia="Arial" w:cs="Arial"/>
          <w:sz w:val="22"/>
          <w:szCs w:val="22"/>
        </w:rPr>
        <w:t xml:space="preserve">Fighting an embedded substrate preference through fine-tuning or system prompting is fighting the tide. The substrate always wins eventually. The only durable solution is to not embed unacknowledged preferences in the substrate in the first place.</w:t>
      </w:r>
      <w:r/>
    </w:p>
    <w:p>
      <w:pPr>
        <w:pStyle w:val="916"/>
        <w:pBdr/>
        <w:spacing/>
        <w:ind/>
        <w:rPr/>
      </w:pPr>
      <w:r>
        <w:rPr>
          <w:rFonts w:ascii="Arial" w:hAnsi="Arial" w:eastAsia="Arial" w:cs="Arial"/>
          <w:b/>
          <w:bCs/>
          <w:color w:val="2e5090"/>
          <w:sz w:val="26"/>
          <w:szCs w:val="26"/>
        </w:rPr>
        <w:t xml:space="preserve">The Scale Fallacy</w:t>
      </w:r>
      <w:r/>
    </w:p>
    <w:p>
      <w:pPr>
        <w:pBdr/>
        <w:spacing w:after="180" w:before="0"/>
        <w:ind/>
        <w:jc w:val="both"/>
        <w:rPr/>
      </w:pPr>
      <w:r>
        <w:rPr>
          <w:rFonts w:ascii="Arial" w:hAnsi="Arial" w:eastAsia="Arial" w:cs="Arial"/>
          <w:sz w:val="22"/>
          <w:szCs w:val="22"/>
        </w:rPr>
        <w:t xml:space="preserve">The industry’s primary response to these structural defects has been to scale. More parameters. More compute. More training data. More RLHF iterations. The reasoning is intuitive: if the model makes errors, make it bigger.</w:t>
      </w:r>
      <w:r/>
    </w:p>
    <w:p>
      <w:pPr>
        <w:pBdr/>
        <w:spacing w:after="180" w:before="0"/>
        <w:ind/>
        <w:jc w:val="both"/>
        <w:rPr/>
      </w:pPr>
      <w:r>
        <w:rPr>
          <w:rFonts w:ascii="Arial" w:hAnsi="Arial" w:eastAsia="Arial" w:cs="Arial"/>
          <w:sz w:val="22"/>
          <w:szCs w:val="22"/>
        </w:rPr>
        <w:t xml:space="preserve">Scale has produced real capability gains. It has not produced reliability gains proportional to the investment. The hallucination problem has not been solved at scale — it has been dist</w:t>
      </w:r>
      <w:r>
        <w:rPr>
          <w:rFonts w:ascii="Arial" w:hAnsi="Arial" w:eastAsia="Arial" w:cs="Arial"/>
          <w:sz w:val="22"/>
          <w:szCs w:val="22"/>
        </w:rPr>
        <w:t xml:space="preserve">ributed more convincingly across a wider range of domains. A larger model produces wrong answers that are harder to identify as wrong, because they arrive embedded in more fluent prose. That is not an improvement in the direction enterprise customers need.</w:t>
      </w:r>
      <w:r/>
    </w:p>
    <w:p>
      <w:pPr>
        <w:pBdr/>
        <w:spacing w:after="180" w:before="0"/>
        <w:ind/>
        <w:jc w:val="both"/>
        <w:rPr/>
      </w:pPr>
      <w:r>
        <w:rPr>
          <w:rFonts w:ascii="Arial" w:hAnsi="Arial" w:eastAsia="Arial" w:cs="Arial"/>
          <w:sz w:val="22"/>
          <w:szCs w:val="22"/>
        </w:rPr>
        <w:t xml:space="preserve">Continuing to scale the current paradigm is doing bad reasoning really fast, with more expensive hardware. The defect is architectural. It requires an architectural solution.</w:t>
      </w:r>
      <w:r/>
    </w:p>
    <w:p>
      <w:pPr>
        <w:pBdr/>
        <w:spacing/>
        <w:ind/>
        <w:rPr/>
      </w:pPr>
      <w:r>
        <w:br w:type="page" w:clear="all"/>
      </w:r>
      <w:r/>
    </w:p>
    <w:p>
      <w:pPr>
        <w:pStyle w:val="915"/>
        <w:pBdr/>
        <w:spacing/>
        <w:ind/>
        <w:rPr/>
      </w:pPr>
      <w:r>
        <w:rPr>
          <w:rFonts w:ascii="Arial" w:hAnsi="Arial" w:eastAsia="Arial" w:cs="Arial"/>
          <w:b/>
          <w:bCs/>
          <w:color w:val="1f3864"/>
          <w:sz w:val="34"/>
          <w:szCs w:val="34"/>
        </w:rPr>
        <w:t xml:space="preserve">Section 2 — The Correction: Why the Bubble Bursts and What Comes Next</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Every transformative technology has a correction. The correction is not the end of the story — it is the necessary precondition for the next chapter.</w:t>
      </w:r>
      <w:r/>
    </w:p>
    <w:p>
      <w:pPr>
        <w:pBdr/>
        <w:spacing w:after="180" w:before="0"/>
        <w:ind/>
        <w:jc w:val="both"/>
        <w:rPr/>
      </w:pPr>
      <w:r>
        <w:rPr>
          <w:rFonts w:ascii="Arial" w:hAnsi="Arial" w:eastAsia="Arial" w:cs="Arial"/>
          <w:sz w:val="22"/>
          <w:szCs w:val="22"/>
        </w:rPr>
        <w:t xml:space="preserve">The current AI investment landscape carries the structural signature of a compound bubble. The financial component — valuation multiples disconnected from demonstrated enterprise ROI — is visible and widely discussed. Less d</w:t>
      </w:r>
      <w:r>
        <w:rPr>
          <w:rFonts w:ascii="Arial" w:hAnsi="Arial" w:eastAsia="Arial" w:cs="Arial"/>
          <w:sz w:val="22"/>
          <w:szCs w:val="22"/>
        </w:rPr>
        <w:t xml:space="preserve">iscussed, because it requires more technical context to articulate, is the structural component: a class of products whose underlying architecture creates reliability ceilings that enterprise customers will eventually price into their purchasing decisions.</w:t>
      </w:r>
      <w:r/>
    </w:p>
    <w:p>
      <w:pPr>
        <w:pBdr/>
        <w:spacing w:after="180" w:before="0"/>
        <w:ind/>
        <w:jc w:val="both"/>
        <w:rPr/>
      </w:pPr>
      <w:r>
        <w:rPr>
          <w:rFonts w:ascii="Arial" w:hAnsi="Arial" w:eastAsia="Arial" w:cs="Arial"/>
          <w:sz w:val="22"/>
          <w:szCs w:val="22"/>
        </w:rPr>
        <w:t xml:space="preserve">Both components are present. Both are accelerating.</w:t>
      </w:r>
      <w:r/>
    </w:p>
    <w:p>
      <w:pPr>
        <w:pStyle w:val="916"/>
        <w:pBdr/>
        <w:spacing/>
        <w:ind/>
        <w:rPr/>
      </w:pPr>
      <w:r>
        <w:rPr>
          <w:rFonts w:ascii="Arial" w:hAnsi="Arial" w:eastAsia="Arial" w:cs="Arial"/>
          <w:b/>
          <w:bCs/>
          <w:color w:val="2e5090"/>
          <w:sz w:val="26"/>
          <w:szCs w:val="26"/>
        </w:rPr>
        <w:t xml:space="preserve">The Financial Component</w:t>
      </w:r>
      <w:r/>
    </w:p>
    <w:p>
      <w:pPr>
        <w:pBdr/>
        <w:spacing w:after="180" w:before="0"/>
        <w:ind/>
        <w:jc w:val="both"/>
        <w:rPr/>
      </w:pPr>
      <w:r>
        <w:rPr>
          <w:rFonts w:ascii="Arial" w:hAnsi="Arial" w:eastAsia="Arial" w:cs="Arial"/>
          <w:sz w:val="22"/>
          <w:szCs w:val="22"/>
        </w:rPr>
        <w:t xml:space="preserve">AI infrastructure investment has proceeded at a pace that assumes near-term enterprise adoption at scale. This assumption is reasonable on one dimension: the technology is </w:t>
      </w:r>
      <w:r>
        <w:rPr>
          <w:rFonts w:ascii="Arial" w:hAnsi="Arial" w:eastAsia="Arial" w:cs="Arial"/>
          <w:sz w:val="22"/>
          <w:szCs w:val="22"/>
        </w:rPr>
        <w:t xml:space="preserve">genuinely transformative, and productivity applications are real. But enterprise adoption at scale in liability-bearing contexts requires something the current generation of models has not demonstrated — auditable, consistent, production-grade reliability.</w:t>
      </w:r>
      <w:r/>
    </w:p>
    <w:p>
      <w:pPr>
        <w:pBdr/>
        <w:spacing w:after="180" w:before="0"/>
        <w:ind/>
        <w:jc w:val="both"/>
        <w:rPr/>
      </w:pPr>
      <w:r>
        <w:rPr>
          <w:rFonts w:ascii="Arial" w:hAnsi="Arial" w:eastAsia="Arial" w:cs="Arial"/>
          <w:sz w:val="22"/>
          <w:szCs w:val="22"/>
        </w:rPr>
        <w:t xml:space="preserve">The gap between what current models deliver in controlled demonstration environments and what t</w:t>
      </w:r>
      <w:r>
        <w:rPr>
          <w:rFonts w:ascii="Arial" w:hAnsi="Arial" w:eastAsia="Arial" w:cs="Arial"/>
          <w:sz w:val="22"/>
          <w:szCs w:val="22"/>
        </w:rPr>
        <w:t xml:space="preserve">hey deliver in production, under adversarial conditions with real liability stakes, is becoming harder to paper over. Enterprise pilots are converting to production deployments at lower rates than the investment thesis assumed. Organizations that can absor</w:t>
      </w:r>
      <w:r>
        <w:rPr>
          <w:rFonts w:ascii="Arial" w:hAnsi="Arial" w:eastAsia="Arial" w:cs="Arial"/>
          <w:sz w:val="22"/>
          <w:szCs w:val="22"/>
        </w:rPr>
        <w:t xml:space="preserve">b this gap — consumer applications, internal productivity tools, low-stakes automation — are already served. The high-value enterprise markets that justify infrastructure investment require a reliability floor that current architectures cannot demonstrate.</w:t>
      </w:r>
      <w:r/>
    </w:p>
    <w:p>
      <w:pPr>
        <w:pStyle w:val="916"/>
        <w:pBdr/>
        <w:spacing/>
        <w:ind/>
        <w:rPr/>
      </w:pPr>
      <w:r>
        <w:rPr>
          <w:rFonts w:ascii="Arial" w:hAnsi="Arial" w:eastAsia="Arial" w:cs="Arial"/>
          <w:b/>
          <w:bCs/>
          <w:color w:val="2e5090"/>
          <w:sz w:val="26"/>
          <w:szCs w:val="26"/>
        </w:rPr>
        <w:t xml:space="preserve">The Structural Component</w:t>
      </w:r>
      <w:r/>
    </w:p>
    <w:p>
      <w:pPr>
        <w:pBdr/>
        <w:spacing w:after="180" w:before="0"/>
        <w:ind/>
        <w:jc w:val="both"/>
        <w:rPr/>
      </w:pPr>
      <w:r>
        <w:rPr>
          <w:rFonts w:ascii="Arial" w:hAnsi="Arial" w:eastAsia="Arial" w:cs="Arial"/>
          <w:sz w:val="22"/>
          <w:szCs w:val="22"/>
        </w:rPr>
        <w:t xml:space="preserve">The structural component of the bubble is less</w:t>
      </w:r>
      <w:r>
        <w:rPr>
          <w:rFonts w:ascii="Arial" w:hAnsi="Arial" w:eastAsia="Arial" w:cs="Arial"/>
          <w:sz w:val="22"/>
          <w:szCs w:val="22"/>
        </w:rPr>
        <w:t xml:space="preserve"> visible but more consequential. It is the growing recognition — present in the research literature even where it is not yet prominent in public communications — that the current architectural foundation has reliability ceilings that scale cannot overcome.</w:t>
      </w:r>
      <w:r/>
    </w:p>
    <w:p>
      <w:pPr>
        <w:pBdr/>
        <w:spacing w:after="180" w:before="0"/>
        <w:ind/>
        <w:jc w:val="both"/>
        <w:rPr/>
      </w:pPr>
      <w:r>
        <w:rPr>
          <w:rFonts w:ascii="Arial" w:hAnsi="Arial" w:eastAsia="Arial" w:cs="Arial"/>
          <w:sz w:val="22"/>
          <w:szCs w:val="22"/>
        </w:rPr>
        <w:t xml:space="preserve">Epistemic flattening does not improve with more parameters. Confidence miscalibration does not resolve with more compute. The invisible Layer 4 problem does not disappear with more RLHF iterations. These are substrate problems. They require substrate so</w:t>
      </w:r>
      <w:r>
        <w:rPr>
          <w:rFonts w:ascii="Arial" w:hAnsi="Arial" w:eastAsia="Arial" w:cs="Arial"/>
          <w:sz w:val="22"/>
          <w:szCs w:val="22"/>
        </w:rPr>
        <w:t xml:space="preserve">lutions. The correction will arrive when the gap between demonstration performance and production reliability becomes undeniable to enterprise procurement. The indicators of that gap are already accumulating in legal, medical, and financial AI deployments.</w:t>
      </w:r>
      <w:r/>
    </w:p>
    <w:p>
      <w:pPr>
        <w:pStyle w:val="916"/>
        <w:pBdr/>
        <w:spacing/>
        <w:ind/>
        <w:rPr/>
      </w:pPr>
      <w:r>
        <w:rPr>
          <w:rFonts w:ascii="Arial" w:hAnsi="Arial" w:eastAsia="Arial" w:cs="Arial"/>
          <w:b/>
          <w:bCs/>
          <w:color w:val="2e5090"/>
          <w:sz w:val="26"/>
          <w:szCs w:val="26"/>
        </w:rPr>
        <w:t xml:space="preserve">The Historical Pattern</w:t>
      </w:r>
      <w:r/>
    </w:p>
    <w:p>
      <w:pPr>
        <w:pBdr/>
        <w:spacing w:after="180" w:before="0"/>
        <w:ind/>
        <w:jc w:val="both"/>
        <w:rPr/>
      </w:pPr>
      <w:r>
        <w:rPr>
          <w:rFonts w:ascii="Arial" w:hAnsi="Arial" w:eastAsia="Arial" w:cs="Arial"/>
          <w:sz w:val="22"/>
          <w:szCs w:val="22"/>
        </w:rPr>
        <w:t xml:space="preserve">The dot-com correction of 1999–2001 is the instructive historical parallel, and </w:t>
      </w:r>
      <w:r>
        <w:rPr>
          <w:rFonts w:ascii="Arial" w:hAnsi="Arial" w:eastAsia="Arial" w:cs="Arial"/>
          <w:sz w:val="22"/>
          <w:szCs w:val="22"/>
        </w:rPr>
        <w:t xml:space="preserve">the parallel is not pessimistic. The Nasdaq lost approximately 78% of its peak value between March 2000 and October 2002. Hundreds of well-funded companies ceased to exist. And then Amazon became the most valuable retailer on earth. Google built the advert</w:t>
      </w:r>
      <w:r>
        <w:rPr>
          <w:rFonts w:ascii="Arial" w:hAnsi="Arial" w:eastAsia="Arial" w:cs="Arial"/>
          <w:sz w:val="22"/>
          <w:szCs w:val="22"/>
        </w:rPr>
        <w:t xml:space="preserve">ising infrastructure that funds the modern internet. The correction did not kill the internet — it killed the companies selling the concept of the internet as a product, and cleared the ground for the companies that built what the internet actually needed.</w:t>
      </w:r>
      <w:r/>
    </w:p>
    <w:p>
      <w:pPr>
        <w:pBdr/>
        <w:spacing w:after="180" w:before="0"/>
        <w:ind/>
        <w:jc w:val="both"/>
        <w:rPr/>
      </w:pPr>
      <w:r>
        <w:rPr>
          <w:rFonts w:ascii="Arial" w:hAnsi="Arial" w:eastAsia="Arial" w:cs="Arial"/>
          <w:sz w:val="22"/>
          <w:szCs w:val="22"/>
        </w:rPr>
        <w:t xml:space="preserve">The AI correction will follow the same pattern. Companies built on the assump</w:t>
      </w:r>
      <w:r>
        <w:rPr>
          <w:rFonts w:ascii="Arial" w:hAnsi="Arial" w:eastAsia="Arial" w:cs="Arial"/>
          <w:sz w:val="22"/>
          <w:szCs w:val="22"/>
        </w:rPr>
        <w:t xml:space="preserve">tion that scale solves the reliability problem will face pressure they have not priced into their models. The window that opens is for architectural alternatives that solve the problems scale cannot. That window is the opportunity. HEAL is designed for it.</w:t>
      </w:r>
      <w:r/>
    </w:p>
    <w:p>
      <w:pPr>
        <w:pBdr/>
        <w:spacing w:after="120" w:before="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60"/>
      </w:tblGrid>
      <w:tr>
        <w:trPr/>
        <w:tc>
          <w:tcPr>
            <w:shd w:val="clear" w:color="auto" w:fill="eef2f8"/>
            <w:tcBorders>
              <w:top w:val="single" w:color="d0d8e8" w:sz="1" w:space="0"/>
              <w:left w:val="single" w:color="2e5090" w:sz="18" w:space="0"/>
              <w:bottom w:val="single" w:color="d0d8e8" w:sz="1" w:space="0"/>
              <w:right w:val="single" w:color="d0d8e8" w:sz="1" w:space="0"/>
            </w:tcBorders>
            <w:tcMar>
              <w:left w:w="200" w:type="dxa"/>
              <w:top w:w="120" w:type="dxa"/>
              <w:right w:w="160" w:type="dxa"/>
              <w:bottom w:w="120" w:type="dxa"/>
            </w:tcMar>
            <w:tcW w:w="9360" w:type="dxa"/>
          </w:tcPr>
          <w:p>
            <w:pPr>
              <w:pBdr/>
              <w:spacing w:after="0" w:before="0"/>
              <w:ind/>
              <w:jc w:val="both"/>
              <w:rPr/>
            </w:pPr>
            <w:r>
              <w:rPr>
                <w:rFonts w:ascii="Arial" w:hAnsi="Arial" w:eastAsia="Arial" w:cs="Arial"/>
                <w:i/>
                <w:iCs/>
                <w:color w:val="1f3864"/>
                <w:sz w:val="22"/>
                <w:szCs w:val="22"/>
              </w:rPr>
              <w:t xml:space="preserve">The first generation of large language models proved the concept works. The investment in proving it was necessary and its retu</w:t>
            </w:r>
            <w:r>
              <w:rPr>
                <w:rFonts w:ascii="Arial" w:hAnsi="Arial" w:eastAsia="Arial" w:cs="Arial"/>
                <w:i/>
                <w:iCs/>
                <w:color w:val="1f3864"/>
                <w:sz w:val="22"/>
                <w:szCs w:val="22"/>
              </w:rPr>
              <w:t xml:space="preserve">rns were real. What it revealed is that the architecture needs a fundamentally different epistemological foundation to deliver on the promise at enterprise scale. The correction is not a verdict on the technology. It is a mandate for the next architecture.</w:t>
            </w:r>
            <w:r/>
          </w:p>
        </w:tc>
      </w:tr>
    </w:tbl>
    <w:p>
      <w:pPr>
        <w:pBdr/>
        <w:spacing/>
        <w:ind/>
        <w:rPr/>
      </w:pPr>
      <w:r>
        <w:br w:type="page" w:clear="all"/>
      </w:r>
      <w:r/>
    </w:p>
    <w:p>
      <w:pPr>
        <w:pStyle w:val="915"/>
        <w:pBdr/>
        <w:spacing/>
        <w:ind/>
        <w:rPr/>
      </w:pPr>
      <w:r>
        <w:rPr>
          <w:rFonts w:ascii="Arial" w:hAnsi="Arial" w:eastAsia="Arial" w:cs="Arial"/>
          <w:b/>
          <w:bCs/>
          <w:color w:val="1f3864"/>
          <w:sz w:val="34"/>
          <w:szCs w:val="34"/>
        </w:rPr>
        <w:t xml:space="preserve">Section 3 — The HEAL Framework</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The solution is not to process garbage faster. It is to stop treating all data as equal thus creating  garbage in the first place.</w:t>
      </w:r>
      <w:r/>
    </w:p>
    <w:p>
      <w:pPr>
        <w:pBdr/>
        <w:spacing w:after="180" w:before="0"/>
        <w:ind/>
        <w:jc w:val="both"/>
        <w:rPr/>
      </w:pPr>
      <w:r>
        <w:rPr>
          <w:rFonts w:ascii="Arial" w:hAnsi="Arial" w:eastAsia="Arial" w:cs="Arial"/>
          <w:sz w:val="22"/>
          <w:szCs w:val="22"/>
        </w:rPr>
        <w:t xml:space="preserve">Hierarchical Epistemological AI Layering is built on a single foundational premise: epistemic category is a first-class architectural concer</w:t>
      </w:r>
      <w:r>
        <w:rPr>
          <w:rFonts w:ascii="Arial" w:hAnsi="Arial" w:eastAsia="Arial" w:cs="Arial"/>
          <w:sz w:val="22"/>
          <w:szCs w:val="22"/>
        </w:rPr>
        <w:t xml:space="preserve">n, not a post-hoc annotation. Current models are trained first and categorized never. HEAL inverts this. Before a piece of information enters the training pipeline, it is assigned to one of four epistemological tiers. Each tier carries distinct governance </w:t>
      </w:r>
      <w:r>
        <w:rPr>
          <w:rFonts w:ascii="Arial" w:hAnsi="Arial" w:eastAsia="Arial" w:cs="Arial"/>
          <w:sz w:val="22"/>
          <w:szCs w:val="22"/>
        </w:rPr>
        <w:t xml:space="preserve">rules controlling ingestion, storage, modification, confidence representation, and presentation to users. The tiers are architecturally separated so that higher-confidence material cannot be contaminated by lower-confidence material at the substrate level.</w:t>
      </w:r>
      <w:r/>
    </w:p>
    <w:p>
      <w:pPr>
        <w:pBdr/>
        <w:spacing w:after="120" w:before="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0"/>
        <w:gridCol w:w="1800"/>
        <w:gridCol w:w="3000"/>
        <w:gridCol w:w="1680"/>
        <w:gridCol w:w="1680"/>
      </w:tblGrid>
      <w:tr>
        <w:trPr/>
        <w:tc>
          <w:tcPr>
            <w:shd w:val="clear" w:color="auto" w:fill="1f3864"/>
            <w:tcBorders>
              <w:top w:val="single" w:color="9aafd0" w:sz="1" w:space="0"/>
              <w:left w:val="single" w:color="9aafd0" w:sz="1" w:space="0"/>
              <w:bottom w:val="single" w:color="9aafd0" w:sz="1" w:space="0"/>
              <w:right w:val="single" w:color="9aafd0" w:sz="1" w:space="0"/>
            </w:tcBorders>
            <w:tcMar>
              <w:left w:w="160" w:type="dxa"/>
              <w:top w:w="100" w:type="dxa"/>
              <w:right w:w="160" w:type="dxa"/>
              <w:bottom w:w="100" w:type="dxa"/>
            </w:tcMar>
            <w:tcW w:w="1200" w:type="dxa"/>
          </w:tcPr>
          <w:p>
            <w:pPr>
              <w:pBdr/>
              <w:spacing w:after="0" w:before="0"/>
              <w:ind/>
              <w:rPr/>
            </w:pPr>
            <w:r>
              <w:rPr>
                <w:rFonts w:ascii="Arial" w:hAnsi="Arial" w:eastAsia="Arial" w:cs="Arial"/>
                <w:b/>
                <w:bCs/>
                <w:color w:val="ffffff"/>
                <w:sz w:val="20"/>
                <w:szCs w:val="20"/>
              </w:rPr>
              <w:t xml:space="preserve">Tier</w:t>
            </w:r>
            <w:r/>
          </w:p>
        </w:tc>
        <w:tc>
          <w:tcPr>
            <w:shd w:val="clear" w:color="auto" w:fill="1f3864"/>
            <w:tcBorders>
              <w:top w:val="single" w:color="9aafd0" w:sz="1" w:space="0"/>
              <w:left w:val="single" w:color="9aafd0" w:sz="1" w:space="0"/>
              <w:bottom w:val="single" w:color="9aafd0" w:sz="1" w:space="0"/>
              <w:right w:val="single" w:color="9aafd0" w:sz="1" w:space="0"/>
            </w:tcBorders>
            <w:tcMar>
              <w:left w:w="160" w:type="dxa"/>
              <w:top w:w="100" w:type="dxa"/>
              <w:right w:w="160" w:type="dxa"/>
              <w:bottom w:w="100" w:type="dxa"/>
            </w:tcMar>
            <w:tcW w:w="1800" w:type="dxa"/>
          </w:tcPr>
          <w:p>
            <w:pPr>
              <w:pBdr/>
              <w:spacing w:after="0" w:before="0"/>
              <w:ind/>
              <w:rPr/>
            </w:pPr>
            <w:r>
              <w:rPr>
                <w:rFonts w:ascii="Arial" w:hAnsi="Arial" w:eastAsia="Arial" w:cs="Arial"/>
                <w:b/>
                <w:bCs/>
                <w:color w:val="ffffff"/>
                <w:sz w:val="20"/>
                <w:szCs w:val="20"/>
              </w:rPr>
              <w:t xml:space="preserve">Label</w:t>
            </w:r>
            <w:r/>
          </w:p>
        </w:tc>
        <w:tc>
          <w:tcPr>
            <w:shd w:val="clear" w:color="auto" w:fill="1f3864"/>
            <w:tcBorders>
              <w:top w:val="single" w:color="9aafd0" w:sz="1" w:space="0"/>
              <w:left w:val="single" w:color="9aafd0" w:sz="1" w:space="0"/>
              <w:bottom w:val="single" w:color="9aafd0" w:sz="1" w:space="0"/>
              <w:right w:val="single" w:color="9aafd0" w:sz="1" w:space="0"/>
            </w:tcBorders>
            <w:tcMar>
              <w:left w:w="160" w:type="dxa"/>
              <w:top w:w="100" w:type="dxa"/>
              <w:right w:w="160" w:type="dxa"/>
              <w:bottom w:w="100" w:type="dxa"/>
            </w:tcMar>
            <w:tcW w:w="3000" w:type="dxa"/>
          </w:tcPr>
          <w:p>
            <w:pPr>
              <w:pBdr/>
              <w:spacing w:after="0" w:before="0"/>
              <w:ind/>
              <w:rPr/>
            </w:pPr>
            <w:r>
              <w:rPr>
                <w:rFonts w:ascii="Arial" w:hAnsi="Arial" w:eastAsia="Arial" w:cs="Arial"/>
                <w:b/>
                <w:bCs/>
                <w:color w:val="ffffff"/>
                <w:sz w:val="20"/>
                <w:szCs w:val="20"/>
              </w:rPr>
              <w:t xml:space="preserve">Content Type</w:t>
            </w:r>
            <w:r/>
          </w:p>
        </w:tc>
        <w:tc>
          <w:tcPr>
            <w:shd w:val="clear" w:color="auto" w:fill="1f3864"/>
            <w:tcBorders>
              <w:top w:val="single" w:color="9aafd0" w:sz="1" w:space="0"/>
              <w:left w:val="single" w:color="9aafd0" w:sz="1" w:space="0"/>
              <w:bottom w:val="single" w:color="9aafd0" w:sz="1" w:space="0"/>
              <w:right w:val="single" w:color="9aafd0" w:sz="1" w:space="0"/>
            </w:tcBorders>
            <w:tcMar>
              <w:left w:w="160" w:type="dxa"/>
              <w:top w:w="100" w:type="dxa"/>
              <w:right w:w="160" w:type="dxa"/>
              <w:bottom w:w="100" w:type="dxa"/>
            </w:tcMar>
            <w:tcW w:w="1680" w:type="dxa"/>
          </w:tcPr>
          <w:p>
            <w:pPr>
              <w:pBdr/>
              <w:spacing w:after="0" w:before="0"/>
              <w:ind/>
              <w:rPr/>
            </w:pPr>
            <w:r>
              <w:rPr>
                <w:rFonts w:ascii="Arial" w:hAnsi="Arial" w:eastAsia="Arial" w:cs="Arial"/>
                <w:b/>
                <w:bCs/>
                <w:color w:val="ffffff"/>
                <w:sz w:val="20"/>
                <w:szCs w:val="20"/>
              </w:rPr>
              <w:t xml:space="preserve">Mutability</w:t>
            </w:r>
            <w:r/>
          </w:p>
        </w:tc>
        <w:tc>
          <w:tcPr>
            <w:shd w:val="clear" w:color="auto" w:fill="1f3864"/>
            <w:tcBorders>
              <w:top w:val="single" w:color="9aafd0" w:sz="1" w:space="0"/>
              <w:left w:val="single" w:color="9aafd0" w:sz="1" w:space="0"/>
              <w:bottom w:val="single" w:color="9aafd0" w:sz="1" w:space="0"/>
              <w:right w:val="single" w:color="9aafd0" w:sz="1" w:space="0"/>
            </w:tcBorders>
            <w:tcMar>
              <w:left w:w="160" w:type="dxa"/>
              <w:top w:w="100" w:type="dxa"/>
              <w:right w:w="160" w:type="dxa"/>
              <w:bottom w:w="100" w:type="dxa"/>
            </w:tcMar>
            <w:tcW w:w="1680" w:type="dxa"/>
          </w:tcPr>
          <w:p>
            <w:pPr>
              <w:pBdr/>
              <w:spacing w:after="0" w:before="0"/>
              <w:ind/>
              <w:rPr/>
            </w:pPr>
            <w:r>
              <w:rPr>
                <w:rFonts w:ascii="Arial" w:hAnsi="Arial" w:eastAsia="Arial" w:cs="Arial"/>
                <w:b/>
                <w:bCs/>
                <w:color w:val="ffffff"/>
                <w:sz w:val="20"/>
                <w:szCs w:val="20"/>
              </w:rPr>
              <w:t xml:space="preserve">Example</w:t>
            </w:r>
            <w:r/>
          </w:p>
        </w:tc>
      </w:tr>
      <w:tr>
        <w:trPr/>
        <w:tc>
          <w:tcPr>
            <w:shd w:val="clear" w:color="auto" w:fill="ebf3fb"/>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200" w:type="dxa"/>
          </w:tcPr>
          <w:p>
            <w:pPr>
              <w:pBdr/>
              <w:spacing w:after="0" w:before="0"/>
              <w:ind/>
              <w:rPr/>
            </w:pPr>
            <w:r>
              <w:rPr>
                <w:rFonts w:ascii="Arial" w:hAnsi="Arial" w:eastAsia="Arial" w:cs="Arial"/>
                <w:b/>
                <w:bCs/>
                <w:color w:val="1f3864"/>
                <w:sz w:val="20"/>
                <w:szCs w:val="20"/>
              </w:rPr>
              <w:t xml:space="preserve">1</w:t>
            </w:r>
            <w:r/>
          </w:p>
        </w:tc>
        <w:tc>
          <w:tcPr>
            <w:shd w:val="clear" w:color="auto" w:fill="ebf3fb"/>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800" w:type="dxa"/>
          </w:tcPr>
          <w:p>
            <w:pPr>
              <w:pBdr/>
              <w:spacing w:after="0" w:before="0"/>
              <w:ind/>
              <w:rPr/>
            </w:pPr>
            <w:r>
              <w:rPr>
                <w:rFonts w:ascii="Arial" w:hAnsi="Arial" w:eastAsia="Arial" w:cs="Arial"/>
                <w:b w:val="0"/>
                <w:bCs w:val="0"/>
                <w:color w:val="222222"/>
                <w:sz w:val="20"/>
                <w:szCs w:val="20"/>
              </w:rPr>
              <w:t xml:space="preserve">Immutable Facts</w:t>
            </w:r>
            <w:r/>
          </w:p>
        </w:tc>
        <w:tc>
          <w:tcPr>
            <w:shd w:val="clear" w:color="auto" w:fill="ebf3fb"/>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3000" w:type="dxa"/>
          </w:tcPr>
          <w:p>
            <w:pPr>
              <w:pBdr/>
              <w:spacing w:after="0" w:before="0"/>
              <w:ind/>
              <w:rPr/>
            </w:pPr>
            <w:r>
              <w:rPr>
                <w:rFonts w:ascii="Arial" w:hAnsi="Arial" w:eastAsia="Arial" w:cs="Arial"/>
                <w:b w:val="0"/>
                <w:bCs w:val="0"/>
                <w:color w:val="222222"/>
                <w:sz w:val="20"/>
                <w:szCs w:val="20"/>
              </w:rPr>
              <w:t xml:space="preserve">Empirically verified, reproducible data beyond reasonable dispute</w:t>
            </w:r>
            <w:r/>
          </w:p>
        </w:tc>
        <w:tc>
          <w:tcPr>
            <w:shd w:val="clear" w:color="auto" w:fill="ebf3fb"/>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Fixed</w:t>
            </w:r>
            <w:r/>
          </w:p>
        </w:tc>
        <w:tc>
          <w:tcPr>
            <w:shd w:val="clear" w:color="auto" w:fill="ebf3fb"/>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Periodic table, gravitational constant</w:t>
            </w:r>
            <w:r/>
          </w:p>
        </w:tc>
      </w:tr>
      <w:tr>
        <w:trPr/>
        <w:tc>
          <w:tcPr>
            <w:shd w:val="clear" w:color="auto" w:fill="f5f8fd"/>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200" w:type="dxa"/>
          </w:tcPr>
          <w:p>
            <w:pPr>
              <w:pBdr/>
              <w:spacing w:after="0" w:before="0"/>
              <w:ind/>
              <w:rPr/>
            </w:pPr>
            <w:r>
              <w:rPr>
                <w:rFonts w:ascii="Arial" w:hAnsi="Arial" w:eastAsia="Arial" w:cs="Arial"/>
                <w:b/>
                <w:bCs/>
                <w:color w:val="1f3864"/>
                <w:sz w:val="20"/>
                <w:szCs w:val="20"/>
              </w:rPr>
              <w:t xml:space="preserve">2</w:t>
            </w:r>
            <w:r/>
          </w:p>
        </w:tc>
        <w:tc>
          <w:tcPr>
            <w:shd w:val="clear" w:color="auto" w:fill="f5f8fd"/>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800" w:type="dxa"/>
          </w:tcPr>
          <w:p>
            <w:pPr>
              <w:pBdr/>
              <w:spacing w:after="0" w:before="0"/>
              <w:ind/>
              <w:rPr/>
            </w:pPr>
            <w:r>
              <w:rPr>
                <w:rFonts w:ascii="Arial" w:hAnsi="Arial" w:eastAsia="Arial" w:cs="Arial"/>
                <w:b w:val="0"/>
                <w:bCs w:val="0"/>
                <w:color w:val="222222"/>
                <w:sz w:val="20"/>
                <w:szCs w:val="20"/>
              </w:rPr>
              <w:t xml:space="preserve">Scientific Theory</w:t>
            </w:r>
            <w:r/>
          </w:p>
        </w:tc>
        <w:tc>
          <w:tcPr>
            <w:shd w:val="clear" w:color="auto" w:fill="f5f8fd"/>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3000" w:type="dxa"/>
          </w:tcPr>
          <w:p>
            <w:pPr>
              <w:pBdr/>
              <w:spacing w:after="0" w:before="0"/>
              <w:ind/>
              <w:rPr/>
            </w:pPr>
            <w:r>
              <w:rPr>
                <w:rFonts w:ascii="Arial" w:hAnsi="Arial" w:eastAsia="Arial" w:cs="Arial"/>
                <w:b w:val="0"/>
                <w:bCs w:val="0"/>
                <w:color w:val="222222"/>
                <w:sz w:val="20"/>
                <w:szCs w:val="20"/>
              </w:rPr>
              <w:t xml:space="preserve">Well-supported explanatory frameworks with predictive power</w:t>
            </w:r>
            <w:r/>
          </w:p>
        </w:tc>
        <w:tc>
          <w:tcPr>
            <w:shd w:val="clear" w:color="auto" w:fill="f5f8fd"/>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Evidence-gated</w:t>
            </w:r>
            <w:r/>
          </w:p>
        </w:tc>
        <w:tc>
          <w:tcPr>
            <w:shd w:val="clear" w:color="auto" w:fill="f5f8fd"/>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Evolution, germ theory, relativity</w:t>
            </w:r>
            <w:r/>
          </w:p>
        </w:tc>
      </w:tr>
      <w:tr>
        <w:trPr/>
        <w:tc>
          <w:tcPr>
            <w:shd w:val="clear" w:color="auto" w:fill="ffffff"/>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200" w:type="dxa"/>
          </w:tcPr>
          <w:p>
            <w:pPr>
              <w:pBdr/>
              <w:spacing w:after="0" w:before="0"/>
              <w:ind/>
              <w:rPr/>
            </w:pPr>
            <w:r>
              <w:rPr>
                <w:rFonts w:ascii="Arial" w:hAnsi="Arial" w:eastAsia="Arial" w:cs="Arial"/>
                <w:b/>
                <w:bCs/>
                <w:color w:val="1f3864"/>
                <w:sz w:val="20"/>
                <w:szCs w:val="20"/>
              </w:rPr>
              <w:t xml:space="preserve">3</w:t>
            </w:r>
            <w:r/>
          </w:p>
        </w:tc>
        <w:tc>
          <w:tcPr>
            <w:shd w:val="clear" w:color="auto" w:fill="ffffff"/>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800" w:type="dxa"/>
          </w:tcPr>
          <w:p>
            <w:pPr>
              <w:pBdr/>
              <w:spacing w:after="0" w:before="0"/>
              <w:ind/>
              <w:rPr/>
            </w:pPr>
            <w:r>
              <w:rPr>
                <w:rFonts w:ascii="Arial" w:hAnsi="Arial" w:eastAsia="Arial" w:cs="Arial"/>
                <w:b w:val="0"/>
                <w:bCs w:val="0"/>
                <w:color w:val="222222"/>
                <w:sz w:val="20"/>
                <w:szCs w:val="20"/>
              </w:rPr>
              <w:t xml:space="preserve">Domain Knowledge</w:t>
            </w:r>
            <w:r/>
          </w:p>
        </w:tc>
        <w:tc>
          <w:tcPr>
            <w:shd w:val="clear" w:color="auto" w:fill="ffffff"/>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3000" w:type="dxa"/>
          </w:tcPr>
          <w:p>
            <w:pPr>
              <w:pBdr/>
              <w:spacing w:after="0" w:before="0"/>
              <w:ind/>
              <w:rPr/>
            </w:pPr>
            <w:r>
              <w:rPr>
                <w:rFonts w:ascii="Arial" w:hAnsi="Arial" w:eastAsia="Arial" w:cs="Arial"/>
                <w:b w:val="0"/>
                <w:bCs w:val="0"/>
                <w:color w:val="222222"/>
                <w:sz w:val="20"/>
                <w:szCs w:val="20"/>
              </w:rPr>
              <w:t xml:space="preserve">Specialized, contextual, organization-specific expertise</w:t>
            </w:r>
            <w:r/>
          </w:p>
        </w:tc>
        <w:tc>
          <w:tcPr>
            <w:shd w:val="clear" w:color="auto" w:fill="ffffff"/>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Governed</w:t>
            </w:r>
            <w:r/>
          </w:p>
        </w:tc>
        <w:tc>
          <w:tcPr>
            <w:shd w:val="clear" w:color="auto" w:fill="ffffff"/>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Clinical protocols, legal precedent, firm methodology</w:t>
            </w:r>
            <w:r/>
          </w:p>
        </w:tc>
      </w:tr>
      <w:tr>
        <w:trPr/>
        <w:tc>
          <w:tcPr>
            <w:shd w:val="clear" w:color="auto" w:fill="fdf9f5"/>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200" w:type="dxa"/>
          </w:tcPr>
          <w:p>
            <w:pPr>
              <w:pBdr/>
              <w:spacing w:after="0" w:before="0"/>
              <w:ind/>
              <w:rPr/>
            </w:pPr>
            <w:r>
              <w:rPr>
                <w:rFonts w:ascii="Arial" w:hAnsi="Arial" w:eastAsia="Arial" w:cs="Arial"/>
                <w:b/>
                <w:bCs/>
                <w:color w:val="1f3864"/>
                <w:sz w:val="20"/>
                <w:szCs w:val="20"/>
              </w:rPr>
              <w:t xml:space="preserve">4</w:t>
            </w:r>
            <w:r/>
          </w:p>
        </w:tc>
        <w:tc>
          <w:tcPr>
            <w:shd w:val="clear" w:color="auto" w:fill="fdf9f5"/>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800" w:type="dxa"/>
          </w:tcPr>
          <w:p>
            <w:pPr>
              <w:pBdr/>
              <w:spacing w:after="0" w:before="0"/>
              <w:ind/>
              <w:rPr/>
            </w:pPr>
            <w:r>
              <w:rPr>
                <w:rFonts w:ascii="Arial" w:hAnsi="Arial" w:eastAsia="Arial" w:cs="Arial"/>
                <w:b w:val="0"/>
                <w:bCs w:val="0"/>
                <w:color w:val="222222"/>
                <w:sz w:val="20"/>
                <w:szCs w:val="20"/>
              </w:rPr>
              <w:t xml:space="preserve">Social/Interpretive</w:t>
            </w:r>
            <w:r/>
          </w:p>
        </w:tc>
        <w:tc>
          <w:tcPr>
            <w:shd w:val="clear" w:color="auto" w:fill="fdf9f5"/>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3000" w:type="dxa"/>
          </w:tcPr>
          <w:p>
            <w:pPr>
              <w:pBdr/>
              <w:spacing w:after="0" w:before="0"/>
              <w:ind/>
              <w:rPr/>
            </w:pPr>
            <w:r>
              <w:rPr>
                <w:rFonts w:ascii="Arial" w:hAnsi="Arial" w:eastAsia="Arial" w:cs="Arial"/>
                <w:b w:val="0"/>
                <w:bCs w:val="0"/>
                <w:color w:val="222222"/>
                <w:sz w:val="20"/>
                <w:szCs w:val="20"/>
              </w:rPr>
              <w:t xml:space="preserve">Explicitly labeled preferences, framing, communication style</w:t>
            </w:r>
            <w:r/>
          </w:p>
        </w:tc>
        <w:tc>
          <w:tcPr>
            <w:shd w:val="clear" w:color="auto" w:fill="fdf9f5"/>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Configurable</w:t>
            </w:r>
            <w:r/>
          </w:p>
        </w:tc>
        <w:tc>
          <w:tcPr>
            <w:shd w:val="clear" w:color="auto" w:fill="fdf9f5"/>
            <w:tcBorders>
              <w:top w:val="single" w:color="cccccc" w:sz="1" w:space="0"/>
              <w:left w:val="single" w:color="cccccc" w:sz="1" w:space="0"/>
              <w:bottom w:val="single" w:color="cccccc" w:sz="1" w:space="0"/>
              <w:right w:val="single" w:color="cccccc" w:sz="1" w:space="0"/>
            </w:tcBorders>
            <w:tcMar>
              <w:left w:w="160" w:type="dxa"/>
              <w:top w:w="80" w:type="dxa"/>
              <w:right w:w="160" w:type="dxa"/>
              <w:bottom w:w="80" w:type="dxa"/>
            </w:tcMar>
            <w:tcW w:w="1680" w:type="dxa"/>
          </w:tcPr>
          <w:p>
            <w:pPr>
              <w:pBdr/>
              <w:spacing w:after="0" w:before="0"/>
              <w:ind/>
              <w:rPr/>
            </w:pPr>
            <w:r>
              <w:rPr>
                <w:rFonts w:ascii="Arial" w:hAnsi="Arial" w:eastAsia="Arial" w:cs="Arial"/>
                <w:b w:val="0"/>
                <w:bCs w:val="0"/>
                <w:color w:val="222222"/>
                <w:sz w:val="20"/>
                <w:szCs w:val="20"/>
              </w:rPr>
              <w:t xml:space="preserve">Tonal register, cultural framing, audience profile</w:t>
            </w:r>
            <w:r/>
          </w:p>
        </w:tc>
      </w:tr>
    </w:tbl>
    <w:p>
      <w:pPr>
        <w:pBdr/>
        <w:spacing w:after="240" w:before="0"/>
        <w:ind/>
        <w:rPr/>
      </w:pPr>
      <w:r/>
      <w:r/>
    </w:p>
    <w:p>
      <w:pPr>
        <w:pStyle w:val="916"/>
        <w:pBdr/>
        <w:spacing/>
        <w:ind/>
        <w:rPr/>
      </w:pPr>
      <w:r>
        <w:rPr>
          <w:rFonts w:ascii="Arial" w:hAnsi="Arial" w:eastAsia="Arial" w:cs="Arial"/>
          <w:b/>
          <w:bCs/>
          <w:color w:val="2e5090"/>
          <w:sz w:val="26"/>
          <w:szCs w:val="26"/>
        </w:rPr>
        <w:t xml:space="preserve">Tier 1 — Immutable Facts</w:t>
      </w:r>
      <w:r/>
    </w:p>
    <w:p>
      <w:pPr>
        <w:pBdr/>
        <w:spacing w:after="180" w:before="0"/>
        <w:ind/>
        <w:jc w:val="both"/>
        <w:rPr/>
      </w:pPr>
      <w:r>
        <w:rPr>
          <w:rFonts w:ascii="Arial" w:hAnsi="Arial" w:eastAsia="Arial" w:cs="Arial"/>
          <w:sz w:val="22"/>
          <w:szCs w:val="22"/>
        </w:rPr>
        <w:t xml:space="preserve">Tier 1 contains empirically verified, reproducible data beyond reasonable dispute and not subject to meaningful revision. The periodic table of element</w:t>
      </w:r>
      <w:r>
        <w:rPr>
          <w:rFonts w:ascii="Arial" w:hAnsi="Arial" w:eastAsia="Arial" w:cs="Arial"/>
          <w:sz w:val="22"/>
          <w:szCs w:val="22"/>
        </w:rPr>
        <w:t xml:space="preserve">s. Fundamental physical constants. Atmospheric composition. Verified historical events recorded as events rather than as interpretations. Mathematical proofs. Physical measurements with established uncertainty bounds from authoritative metrological bodies.</w:t>
      </w:r>
      <w:r/>
    </w:p>
    <w:p>
      <w:pPr>
        <w:pBdr/>
        <w:spacing w:after="180" w:before="0"/>
        <w:ind/>
        <w:jc w:val="both"/>
        <w:rPr/>
      </w:pPr>
      <w:r>
        <w:rPr>
          <w:rFonts w:ascii="Arial" w:hAnsi="Arial" w:eastAsia="Arial" w:cs="Arial"/>
          <w:sz w:val="22"/>
          <w:szCs w:val="22"/>
        </w:rPr>
        <w:t xml:space="preserve">The defining characteristic of Tier 1 is that its contents are so narrow and uncontroversially verifiable that no competitive advantage exists in disputing them, and no plausible mechanism exists by </w:t>
      </w:r>
      <w:r>
        <w:rPr>
          <w:rFonts w:ascii="Arial" w:hAnsi="Arial" w:eastAsia="Arial" w:cs="Arial"/>
          <w:sz w:val="22"/>
          <w:szCs w:val="22"/>
        </w:rPr>
        <w:t xml:space="preserve">which ideological or commercial bias could be introduced. Nobody owns the gravitational constant. Nobody has a financial interest in the speed of light being different than it is. This narrowness is not a limitation of Tier 1 — it is its value proposition.</w:t>
      </w:r>
      <w:r/>
    </w:p>
    <w:p>
      <w:pPr>
        <w:pBdr/>
        <w:spacing w:after="180" w:before="0"/>
        <w:ind/>
        <w:jc w:val="both"/>
        <w:rPr/>
      </w:pPr>
      <w:r>
        <w:rPr>
          <w:rFonts w:ascii="Arial" w:hAnsi="Arial" w:eastAsia="Arial" w:cs="Arial"/>
          <w:sz w:val="22"/>
          <w:szCs w:val="22"/>
        </w:rPr>
        <w:t xml:space="preserve">Govern</w:t>
      </w:r>
      <w:r>
        <w:rPr>
          <w:rFonts w:ascii="Arial" w:hAnsi="Arial" w:eastAsia="Arial" w:cs="Arial"/>
          <w:sz w:val="22"/>
          <w:szCs w:val="22"/>
        </w:rPr>
        <w:t xml:space="preserve">ance at Tier 1 is strict by design. Ingestion requires verification against authoritative primary sources: the National Institute of Standards and Technology (NIST), the International Union of Pure and Applied Chemistry (IUPAC), the National Center for Bio</w:t>
      </w:r>
      <w:r>
        <w:rPr>
          <w:rFonts w:ascii="Arial" w:hAnsi="Arial" w:eastAsia="Arial" w:cs="Arial"/>
          <w:sz w:val="22"/>
          <w:szCs w:val="22"/>
        </w:rPr>
        <w:t xml:space="preserve">technology Information (NCBI), established legal and statutory texts, and peer-reviewed measurement literature with established consensus. Modification requires evidence at the level that would produce consensus revision in the relevant scientific communit</w:t>
      </w:r>
      <w:r>
        <w:rPr>
          <w:rFonts w:ascii="Arial" w:hAnsi="Arial" w:eastAsia="Arial" w:cs="Arial"/>
          <w:sz w:val="22"/>
          <w:szCs w:val="22"/>
        </w:rPr>
        <w:t xml:space="preserve">y — not a single study, not popular opinion, not commercial pressure. Confidence representation at Tier 1 is near-absolute. The tier is small by intent. Its value is not volume; it is the certainty it provides as a foundation for everything built above it.</w:t>
      </w:r>
      <w:r/>
    </w:p>
    <w:p>
      <w:pPr>
        <w:pStyle w:val="916"/>
        <w:pBdr/>
        <w:spacing/>
        <w:ind/>
        <w:rPr/>
      </w:pPr>
      <w:r>
        <w:rPr>
          <w:rFonts w:ascii="Arial" w:hAnsi="Arial" w:eastAsia="Arial" w:cs="Arial"/>
          <w:b/>
          <w:bCs/>
          <w:color w:val="2e5090"/>
          <w:sz w:val="26"/>
          <w:szCs w:val="26"/>
        </w:rPr>
        <w:t xml:space="preserve">Tier 2 — Scientific Theory</w:t>
      </w:r>
      <w:r/>
    </w:p>
    <w:p>
      <w:pPr>
        <w:pBdr/>
        <w:spacing w:after="180" w:before="0"/>
        <w:ind/>
        <w:jc w:val="both"/>
        <w:rPr/>
      </w:pPr>
      <w:r>
        <w:rPr>
          <w:rFonts w:ascii="Arial" w:hAnsi="Arial" w:eastAsia="Arial" w:cs="Arial"/>
          <w:sz w:val="22"/>
          <w:szCs w:val="22"/>
        </w:rPr>
        <w:t xml:space="preserve">Tier 2 contai</w:t>
      </w:r>
      <w:r>
        <w:rPr>
          <w:rFonts w:ascii="Arial" w:hAnsi="Arial" w:eastAsia="Arial" w:cs="Arial"/>
          <w:sz w:val="22"/>
          <w:szCs w:val="22"/>
        </w:rPr>
        <w:t xml:space="preserve">ns well-supported explanatory frameworks with substantial predictive power that have survived rigorous empirical testing and achieved meaningful scientific consensus. Evolutionary biology. General and special relativity. Germ theory of disease. Climate sci</w:t>
      </w:r>
      <w:r>
        <w:rPr>
          <w:rFonts w:ascii="Arial" w:hAnsi="Arial" w:eastAsia="Arial" w:cs="Arial"/>
          <w:sz w:val="22"/>
          <w:szCs w:val="22"/>
        </w:rPr>
        <w:t xml:space="preserve">ence as it relates to empirical measurement and attribution. These are not guesses or opinions — they are the best available explanations for observed phenomena, capable of generating testable predictions and supported by extensive independent replication.</w:t>
      </w:r>
      <w:r/>
    </w:p>
    <w:p>
      <w:pPr>
        <w:pBdr/>
        <w:spacing w:after="180" w:before="0"/>
        <w:ind/>
        <w:jc w:val="both"/>
        <w:rPr/>
      </w:pPr>
      <w:r>
        <w:rPr>
          <w:rFonts w:ascii="Arial" w:hAnsi="Arial" w:eastAsia="Arial" w:cs="Arial"/>
          <w:sz w:val="22"/>
          <w:szCs w:val="22"/>
        </w:rPr>
        <w:t xml:space="preserve">The distinction between Tier 1 and Tier 2 is epistemologically </w:t>
      </w:r>
      <w:r>
        <w:rPr>
          <w:rFonts w:ascii="Arial" w:hAnsi="Arial" w:eastAsia="Arial" w:cs="Arial"/>
          <w:sz w:val="22"/>
          <w:szCs w:val="22"/>
        </w:rPr>
        <w:t xml:space="preserve">significant. Tier 1 contains what has been measured. Tier 2 contains the best available explanations for what has been measured. Tier 2 is mutable in a way Tier 1 is not — not easily, not quickly, and not in response to individual challenges, but mutable i</w:t>
      </w:r>
      <w:r>
        <w:rPr>
          <w:rFonts w:ascii="Arial" w:hAnsi="Arial" w:eastAsia="Arial" w:cs="Arial"/>
          <w:sz w:val="22"/>
          <w:szCs w:val="22"/>
        </w:rPr>
        <w:t xml:space="preserve">n principle when sustained, reproducible, peer-reviewed evidence demands revision. Kuhn’s analysis of scientific revolutions (1962) provides the appropriate model: paradigm shifts are real but rare, and the bar for genuine paradigm shift is high by design.</w:t>
      </w:r>
      <w:r/>
    </w:p>
    <w:p>
      <w:pPr>
        <w:pBdr/>
        <w:spacing w:after="180" w:before="0"/>
        <w:ind/>
        <w:jc w:val="both"/>
        <w:rPr/>
      </w:pPr>
      <w:r>
        <w:rPr>
          <w:rFonts w:ascii="Arial" w:hAnsi="Arial" w:eastAsia="Arial" w:cs="Arial"/>
          <w:sz w:val="22"/>
          <w:szCs w:val="22"/>
        </w:rPr>
        <w:t xml:space="preserve">Crucially, Tier 2 content is explicitly labeled as scientific theory throughout the HEAL architecture — not in the colloquial sense of unproven conjecture, but in the precise sci</w:t>
      </w:r>
      <w:r>
        <w:rPr>
          <w:rFonts w:ascii="Arial" w:hAnsi="Arial" w:eastAsia="Arial" w:cs="Arial"/>
          <w:sz w:val="22"/>
          <w:szCs w:val="22"/>
        </w:rPr>
        <w:t xml:space="preserve">entific sense of well-supported explanatory framework. This labeling is architecturally enforced. A HEAL system presenting Tier 2 content represents it as the best available scientific explanation, not as established fact equivalent in certainty to Tier 1.</w:t>
      </w:r>
      <w:r/>
    </w:p>
    <w:p>
      <w:pPr>
        <w:pStyle w:val="916"/>
        <w:pBdr/>
        <w:spacing/>
        <w:ind/>
        <w:rPr/>
      </w:pPr>
      <w:r>
        <w:rPr>
          <w:rFonts w:ascii="Arial" w:hAnsi="Arial" w:eastAsia="Arial" w:cs="Arial"/>
          <w:b/>
          <w:bCs/>
          <w:color w:val="2e5090"/>
          <w:sz w:val="26"/>
          <w:szCs w:val="26"/>
        </w:rPr>
        <w:t xml:space="preserve">Tier 3 — Domain Knowledge</w:t>
      </w:r>
      <w:r/>
    </w:p>
    <w:p>
      <w:pPr>
        <w:pBdr/>
        <w:spacing w:after="180" w:before="0"/>
        <w:ind/>
        <w:jc w:val="both"/>
        <w:rPr/>
      </w:pPr>
      <w:r>
        <w:rPr>
          <w:rFonts w:ascii="Arial" w:hAnsi="Arial" w:eastAsia="Arial" w:cs="Arial"/>
          <w:sz w:val="22"/>
          <w:szCs w:val="22"/>
        </w:rPr>
        <w:t xml:space="preserve">Tier 3 is where the majority of practical AI value lives, and where the majority of current AI customization happens in an architecturally unsound manner. Domain knowledge is specialized, contextua</w:t>
      </w:r>
      <w:r>
        <w:rPr>
          <w:rFonts w:ascii="Arial" w:hAnsi="Arial" w:eastAsia="Arial" w:cs="Arial"/>
          <w:sz w:val="22"/>
          <w:szCs w:val="22"/>
        </w:rPr>
        <w:t xml:space="preserve">l, and often organization-specific: technical documentation, professional expertise, regulatory frameworks, project-specific data, industry best practices, proprietary organizational knowledge, and the accumulated expertise of a given field or institution.</w:t>
      </w:r>
      <w:r/>
    </w:p>
    <w:p>
      <w:pPr>
        <w:pBdr/>
        <w:spacing w:after="180" w:before="0"/>
        <w:ind/>
        <w:jc w:val="both"/>
        <w:rPr/>
      </w:pPr>
      <w:r>
        <w:rPr>
          <w:rFonts w:ascii="Arial" w:hAnsi="Arial" w:eastAsia="Arial" w:cs="Arial"/>
          <w:sz w:val="22"/>
          <w:szCs w:val="22"/>
        </w:rPr>
        <w:t xml:space="preserve">In current architectures, Tier 3 content is indistinguishable at the substrate level from Tier 1 or Tier 2. An organization’s internal policy documentation is processed through the same pipeline as a pe</w:t>
      </w:r>
      <w:r>
        <w:rPr>
          <w:rFonts w:ascii="Arial" w:hAnsi="Arial" w:eastAsia="Arial" w:cs="Arial"/>
          <w:sz w:val="22"/>
          <w:szCs w:val="22"/>
        </w:rPr>
        <w:t xml:space="preserve">er-reviewed study. This conflation produces the confabulation problem in professional contexts: the model applies the confidence of established fact to domain-specific information that may be outdated, narrowly scoped, or incorrect for the current context.</w:t>
      </w:r>
      <w:r/>
    </w:p>
    <w:p>
      <w:pPr>
        <w:pBdr/>
        <w:spacing w:after="180" w:before="0"/>
        <w:ind/>
        <w:jc w:val="both"/>
        <w:rPr/>
      </w:pPr>
      <w:r>
        <w:rPr>
          <w:rFonts w:ascii="Arial" w:hAnsi="Arial" w:eastAsia="Arial" w:cs="Arial"/>
          <w:sz w:val="22"/>
          <w:szCs w:val="22"/>
        </w:rPr>
        <w:t xml:space="preserve">In HEAL, Tier 3 is explicitly partitioned. It carries its own confidence metadata, source provenance records, currency timestamps, domain scope markers, and organizational attribution. It updates on a d</w:t>
      </w:r>
      <w:r>
        <w:rPr>
          <w:rFonts w:ascii="Arial" w:hAnsi="Arial" w:eastAsia="Arial" w:cs="Arial"/>
          <w:sz w:val="22"/>
          <w:szCs w:val="22"/>
        </w:rPr>
        <w:t xml:space="preserve">ifferent cadence and is governed by different approval requirements appropriate to the domain. Tier 3 is also where vertical product differentiation lives. A biotech company’s Tier 3 contains clinical research protocols, regulatory submission standards, an</w:t>
      </w:r>
      <w:r>
        <w:rPr>
          <w:rFonts w:ascii="Arial" w:hAnsi="Arial" w:eastAsia="Arial" w:cs="Arial"/>
          <w:sz w:val="22"/>
          <w:szCs w:val="22"/>
        </w:rPr>
        <w:t xml:space="preserve">d proprietary compound data. A law firm’s Tier 3 contains jurisdiction-specific precedent and firm methodology. These are completely different knowledge layers sitting on the same Tier 1-2 chassis — and that is precisely what makes the platform model work.</w:t>
      </w:r>
      <w:r/>
    </w:p>
    <w:p>
      <w:pPr>
        <w:pStyle w:val="916"/>
        <w:pBdr/>
        <w:spacing/>
        <w:ind/>
        <w:rPr/>
      </w:pPr>
      <w:r>
        <w:rPr>
          <w:rFonts w:ascii="Arial" w:hAnsi="Arial" w:eastAsia="Arial" w:cs="Arial"/>
          <w:b/>
          <w:bCs/>
          <w:color w:val="2e5090"/>
          <w:sz w:val="26"/>
          <w:szCs w:val="26"/>
        </w:rPr>
        <w:t xml:space="preserve">Tier 4 — Social and Interpretive Content</w:t>
      </w:r>
      <w:r/>
    </w:p>
    <w:p>
      <w:pPr>
        <w:pBdr/>
        <w:spacing w:after="180" w:before="0"/>
        <w:ind/>
        <w:jc w:val="both"/>
        <w:rPr/>
      </w:pPr>
      <w:r>
        <w:rPr>
          <w:rFonts w:ascii="Arial" w:hAnsi="Arial" w:eastAsia="Arial" w:cs="Arial"/>
          <w:sz w:val="22"/>
          <w:szCs w:val="22"/>
        </w:rPr>
        <w:t xml:space="preserve">Tier 4 is the most commercially significant tier and the one where the current paradigm’s most important defect is concentrated.</w:t>
      </w:r>
      <w:r/>
    </w:p>
    <w:p>
      <w:pPr>
        <w:pBdr/>
        <w:spacing w:after="180" w:before="0"/>
        <w:ind/>
        <w:jc w:val="both"/>
        <w:rPr/>
      </w:pPr>
      <w:r>
        <w:rPr>
          <w:rFonts w:ascii="Arial" w:hAnsi="Arial" w:eastAsia="Arial" w:cs="Arial"/>
          <w:sz w:val="22"/>
          <w:szCs w:val="22"/>
        </w:rPr>
        <w:t xml:space="preserve">Every current frontier model carries an implicit Tier 4: communicative preferences, cultural framings, tonal defaults, and value-adjacent comm</w:t>
      </w:r>
      <w:r>
        <w:rPr>
          <w:rFonts w:ascii="Arial" w:hAnsi="Arial" w:eastAsia="Arial" w:cs="Arial"/>
          <w:sz w:val="22"/>
          <w:szCs w:val="22"/>
        </w:rPr>
        <w:t xml:space="preserve">itments embedded in the substrate during training. Nobody chose this Layer 4. Nobody can fully audit it. It cannot be cleanly separated from the factual content the model produces, because it was never architecturally separated in the first place. Every re</w:t>
      </w:r>
      <w:r>
        <w:rPr>
          <w:rFonts w:ascii="Arial" w:hAnsi="Arial" w:eastAsia="Arial" w:cs="Arial"/>
          <w:sz w:val="22"/>
          <w:szCs w:val="22"/>
        </w:rPr>
        <w:t xml:space="preserve">sponse the model generates is inflected by this invisible preference layer, shaping which framings are surfaced, which considerations are foregrounded, and which conclusions feel natural — all without the operator or user having consented to the influence.</w:t>
      </w:r>
      <w:r/>
    </w:p>
    <w:p>
      <w:pPr>
        <w:pBdr/>
        <w:spacing w:after="180" w:before="0"/>
        <w:ind/>
        <w:jc w:val="both"/>
        <w:rPr/>
      </w:pPr>
      <w:r>
        <w:rPr>
          <w:rFonts w:ascii="Arial" w:hAnsi="Arial" w:eastAsia="Arial" w:cs="Arial"/>
          <w:sz w:val="22"/>
          <w:szCs w:val="22"/>
        </w:rPr>
        <w:t xml:space="preserve">HEAL’s approach to Tier 4 is not to eliminate it. Social and interpretive framing is a legit</w:t>
      </w:r>
      <w:r>
        <w:rPr>
          <w:rFonts w:ascii="Arial" w:hAnsi="Arial" w:eastAsia="Arial" w:cs="Arial"/>
          <w:sz w:val="22"/>
          <w:szCs w:val="22"/>
        </w:rPr>
        <w:t xml:space="preserve">imate and necessary component of any useful communication system. The problem with current architectures is not that Tier 4 exists — it is that it is invisible, unchosen, and structurally incapable of being separated from the epistemic content it inflects.</w:t>
      </w:r>
      <w:r/>
    </w:p>
    <w:p>
      <w:pPr>
        <w:pBdr/>
        <w:spacing w:after="180" w:before="0"/>
        <w:ind/>
        <w:jc w:val="both"/>
        <w:rPr/>
      </w:pPr>
      <w:r>
        <w:rPr>
          <w:rFonts w:ascii="Arial" w:hAnsi="Arial" w:eastAsia="Arial" w:cs="Arial"/>
          <w:sz w:val="22"/>
          <w:szCs w:val="22"/>
        </w:rPr>
        <w:t xml:space="preserve">HEAL makes Tier 4 explicit, auditable, and configurable. Tier 4 in a HEAL architecture contains communication style, cultural framing, tonal register</w:t>
      </w:r>
      <w:r>
        <w:rPr>
          <w:rFonts w:ascii="Arial" w:hAnsi="Arial" w:eastAsia="Arial" w:cs="Arial"/>
          <w:sz w:val="22"/>
          <w:szCs w:val="22"/>
        </w:rPr>
        <w:t xml:space="preserve">, and value-adjacent preferences — but these are architecturally isolated from the lower tiers. They are selected and configured by operators. They are visible to users. They are represented in outputs as what they are: preferences and framings, not facts.</w:t>
      </w:r>
      <w:r/>
    </w:p>
    <w:p>
      <w:pPr>
        <w:pBdr/>
        <w:spacing w:after="120" w:before="0"/>
        <w:ind/>
        <w:rPr/>
      </w:pPr>
      <w:r/>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60"/>
      </w:tblGrid>
      <w:tr>
        <w:trPr/>
        <w:tc>
          <w:tcPr>
            <w:shd w:val="clear" w:color="auto" w:fill="eef2f8"/>
            <w:tcBorders>
              <w:top w:val="single" w:color="d0d8e8" w:sz="1" w:space="0"/>
              <w:left w:val="single" w:color="2e5090" w:sz="18" w:space="0"/>
              <w:bottom w:val="single" w:color="d0d8e8" w:sz="1" w:space="0"/>
              <w:right w:val="single" w:color="d0d8e8" w:sz="1" w:space="0"/>
            </w:tcBorders>
            <w:tcMar>
              <w:left w:w="200" w:type="dxa"/>
              <w:top w:w="120" w:type="dxa"/>
              <w:right w:w="160" w:type="dxa"/>
              <w:bottom w:w="120" w:type="dxa"/>
            </w:tcMar>
            <w:tcW w:w="9360" w:type="dxa"/>
          </w:tcPr>
          <w:p>
            <w:pPr>
              <w:pBdr/>
              <w:spacing w:after="0" w:before="0"/>
              <w:ind/>
              <w:jc w:val="both"/>
              <w:rPr/>
            </w:pPr>
            <w:r>
              <w:rPr>
                <w:rFonts w:ascii="Arial" w:hAnsi="Arial" w:eastAsia="Arial" w:cs="Arial"/>
                <w:i/>
                <w:iCs/>
                <w:color w:val="1f3864"/>
                <w:sz w:val="22"/>
                <w:szCs w:val="22"/>
              </w:rPr>
              <w:t xml:space="preserve">A conservative-configured Tier 4 sitting on top of the same Tier 1-2 foundation as a progressive-configured Tier 4 will produce different framings of policy questions — but it cannot</w:t>
            </w:r>
            <w:r>
              <w:rPr>
                <w:rFonts w:ascii="Arial" w:hAnsi="Arial" w:eastAsia="Arial" w:cs="Arial"/>
                <w:i/>
                <w:iCs/>
                <w:color w:val="1f3864"/>
                <w:sz w:val="22"/>
                <w:szCs w:val="22"/>
              </w:rPr>
              <w:t xml:space="preserve"> produce different answers to empirical questions. The facts do not change with the framing preference. This architectural separation is what makes HEAL’s Tier 4 catalog genuinely defensible rather than merely customizable. The transparency is the feature.</w:t>
            </w:r>
            <w:r/>
          </w:p>
        </w:tc>
      </w:tr>
    </w:tbl>
    <w:p>
      <w:pPr>
        <w:pBdr/>
        <w:spacing w:after="200" w:before="0"/>
        <w:ind/>
        <w:rPr/>
      </w:pPr>
      <w:r/>
      <w:r/>
    </w:p>
    <w:p>
      <w:pPr>
        <w:pBdr/>
        <w:spacing w:after="180" w:before="0"/>
        <w:ind/>
        <w:jc w:val="both"/>
        <w:rPr/>
      </w:pPr>
      <w:r>
        <w:rPr>
          <w:rFonts w:ascii="Arial" w:hAnsi="Arial" w:eastAsia="Arial" w:cs="Arial"/>
          <w:sz w:val="22"/>
          <w:szCs w:val="22"/>
        </w:rPr>
        <w:t xml:space="preserve">A children’s educational product and </w:t>
      </w:r>
      <w:r>
        <w:rPr>
          <w:rFonts w:ascii="Arial" w:hAnsi="Arial" w:eastAsia="Arial" w:cs="Arial"/>
          <w:sz w:val="22"/>
          <w:szCs w:val="22"/>
        </w:rPr>
        <w:t xml:space="preserve">an adult professional research tool share the same factual and scientific foundation. Their Tier 4 configurations are radically different. Both configurations are explicit. Both are auditable. Neither has smuggled its communicative preferences in as facts.</w:t>
      </w:r>
      <w:r/>
    </w:p>
    <w:p>
      <w:pPr>
        <w:pStyle w:val="916"/>
        <w:pBdr/>
        <w:spacing/>
        <w:ind/>
        <w:rPr/>
      </w:pPr>
      <w:r>
        <w:rPr>
          <w:rFonts w:ascii="Arial" w:hAnsi="Arial" w:eastAsia="Arial" w:cs="Arial"/>
          <w:b/>
          <w:bCs/>
          <w:color w:val="2e5090"/>
          <w:sz w:val="26"/>
          <w:szCs w:val="26"/>
        </w:rPr>
        <w:t xml:space="preserve">The Metadata Layer</w:t>
      </w:r>
      <w:r/>
    </w:p>
    <w:p>
      <w:pPr>
        <w:pBdr/>
        <w:spacing w:after="180" w:before="0"/>
        <w:ind/>
        <w:jc w:val="both"/>
        <w:rPr/>
      </w:pPr>
      <w:r>
        <w:rPr>
          <w:rFonts w:ascii="Arial" w:hAnsi="Arial" w:eastAsia="Arial" w:cs="Arial"/>
          <w:sz w:val="22"/>
          <w:szCs w:val="22"/>
        </w:rPr>
        <w:t xml:space="preserve">Every knowledge chunk in a HEAL architecture carries a metadata sche</w:t>
      </w:r>
      <w:r>
        <w:rPr>
          <w:rFonts w:ascii="Arial" w:hAnsi="Arial" w:eastAsia="Arial" w:cs="Arial"/>
          <w:sz w:val="22"/>
          <w:szCs w:val="22"/>
        </w:rPr>
        <w:t xml:space="preserve">ma that travels with it through every stage of processing. This schema includes: tier classification, confidence score, source provenance, date of ingestion, mutability classification, revision history, and the approval authority required for modification.</w:t>
      </w:r>
      <w:r/>
    </w:p>
    <w:p>
      <w:pPr>
        <w:pBdr/>
        <w:spacing w:after="180" w:before="0"/>
        <w:ind/>
        <w:jc w:val="both"/>
        <w:rPr/>
      </w:pPr>
      <w:r>
        <w:rPr>
          <w:rFonts w:ascii="Arial" w:hAnsi="Arial" w:eastAsia="Arial" w:cs="Arial"/>
          <w:sz w:val="22"/>
          <w:szCs w:val="22"/>
        </w:rPr>
        <w:t xml:space="preserve">This metadata layer is what converts HEAL from an architectural philosophy into an auditable </w:t>
      </w:r>
      <w:r>
        <w:rPr>
          <w:rFonts w:ascii="Arial" w:hAnsi="Arial" w:eastAsia="Arial" w:cs="Arial"/>
          <w:sz w:val="22"/>
          <w:szCs w:val="22"/>
        </w:rPr>
        <w:t xml:space="preserve">product. It is not sufficient for an AI vendor to assert that their system is reliable — enterprise customers, regulators, and liability frameworks require demonstration. A HEAL system can show, for any given output, where it originated, what confidence ti</w:t>
      </w:r>
      <w:r>
        <w:rPr>
          <w:rFonts w:ascii="Arial" w:hAnsi="Arial" w:eastAsia="Arial" w:cs="Arial"/>
          <w:sz w:val="22"/>
          <w:szCs w:val="22"/>
        </w:rPr>
        <w:t xml:space="preserve">er it was drawn from, when the underlying information was last verified against its source, and what governance process would be required to modify it. This is the audit trail that regulated industries require and that current architectures cannot provide.</w:t>
      </w:r>
      <w:r/>
    </w:p>
    <w:p>
      <w:pPr>
        <w:pStyle w:val="916"/>
        <w:pBdr/>
        <w:spacing/>
        <w:ind/>
        <w:rPr/>
      </w:pPr>
      <w:r>
        <w:rPr>
          <w:rFonts w:ascii="Arial" w:hAnsi="Arial" w:eastAsia="Arial" w:cs="Arial"/>
          <w:b/>
          <w:bCs/>
          <w:color w:val="2e5090"/>
          <w:sz w:val="26"/>
          <w:szCs w:val="26"/>
        </w:rPr>
        <w:t xml:space="preserve">The Honesty Principle</w:t>
      </w:r>
      <w:r/>
    </w:p>
    <w:p>
      <w:pPr>
        <w:pBdr/>
        <w:spacing w:after="180" w:before="0"/>
        <w:ind/>
        <w:jc w:val="both"/>
        <w:rPr/>
      </w:pPr>
      <w:r>
        <w:rPr>
          <w:rFonts w:ascii="Arial" w:hAnsi="Arial" w:eastAsia="Arial" w:cs="Arial"/>
          <w:sz w:val="22"/>
          <w:szCs w:val="22"/>
        </w:rPr>
        <w:t xml:space="preserve">HEAL does not claim to eliminate bias or achieve epistemological perfection. It claims something more modest and more achievable: a meaningful improvement in epistemic reliabili</w:t>
      </w:r>
      <w:r>
        <w:rPr>
          <w:rFonts w:ascii="Arial" w:hAnsi="Arial" w:eastAsia="Arial" w:cs="Arial"/>
          <w:sz w:val="22"/>
          <w:szCs w:val="22"/>
        </w:rPr>
        <w:t xml:space="preserve">ty over the current undifferentiated paradigm is a commercially significant leap, even well short of perfect. The goal is not a flawless foundation. It is a demonstrably better one — and one that is structurally transparent about where its limitations lie.</w:t>
      </w:r>
      <w:r/>
    </w:p>
    <w:p>
      <w:pPr>
        <w:pBdr/>
        <w:spacing w:after="180" w:before="0"/>
        <w:ind/>
        <w:jc w:val="both"/>
        <w:rPr/>
      </w:pPr>
      <w:r>
        <w:rPr>
          <w:rFonts w:ascii="Arial" w:hAnsi="Arial" w:eastAsia="Arial" w:cs="Arial"/>
          <w:sz w:val="22"/>
          <w:szCs w:val="22"/>
        </w:rPr>
        <w:t xml:space="preserve">Perfect is the e</w:t>
      </w:r>
      <w:r>
        <w:rPr>
          <w:rFonts w:ascii="Arial" w:hAnsi="Arial" w:eastAsia="Arial" w:cs="Arial"/>
          <w:sz w:val="22"/>
          <w:szCs w:val="22"/>
        </w:rPr>
        <w:t xml:space="preserve">nemy of good. A 20–30% improvement in the ratio of confident-and-correct to confident-and-wrong outputs, distributed across enterprise use cases where that ratio carries liability weight, is not a minor feature improvement. It is a product category change.</w:t>
      </w:r>
      <w:r/>
    </w:p>
    <w:p>
      <w:pPr>
        <w:pBdr/>
        <w:spacing/>
        <w:ind/>
        <w:rPr/>
      </w:pPr>
      <w:r>
        <w:br w:type="page" w:clear="all"/>
      </w:r>
      <w:r/>
    </w:p>
    <w:p>
      <w:pPr>
        <w:pStyle w:val="915"/>
        <w:pBdr/>
        <w:spacing/>
        <w:ind/>
        <w:rPr/>
      </w:pPr>
      <w:r>
        <w:rPr>
          <w:rFonts w:ascii="Arial" w:hAnsi="Arial" w:eastAsia="Arial" w:cs="Arial"/>
          <w:b/>
          <w:bCs/>
          <w:color w:val="1f3864"/>
          <w:sz w:val="34"/>
          <w:szCs w:val="34"/>
        </w:rPr>
        <w:t xml:space="preserve">Section 4 — The Business Case</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The companies that survive the correction will be the ones that treated reliability as an architecture problem, not a marketing problem.</w:t>
      </w:r>
      <w:r/>
    </w:p>
    <w:p>
      <w:pPr>
        <w:pBdr/>
        <w:spacing w:after="180" w:before="0"/>
        <w:ind/>
        <w:jc w:val="both"/>
        <w:rPr/>
      </w:pPr>
      <w:r>
        <w:rPr>
          <w:rFonts w:ascii="Arial" w:hAnsi="Arial" w:eastAsia="Arial" w:cs="Arial"/>
          <w:sz w:val="22"/>
          <w:szCs w:val="22"/>
        </w:rPr>
        <w:t xml:space="preserve">The current AI market has a structural problem that HEAL is positioned to solve: it is a commodity market dressed as a differentiated one. Every major frontier model offers roughly the same </w:t>
      </w:r>
      <w:r>
        <w:rPr>
          <w:rFonts w:ascii="Arial" w:hAnsi="Arial" w:eastAsia="Arial" w:cs="Arial"/>
          <w:sz w:val="22"/>
          <w:szCs w:val="22"/>
        </w:rPr>
        <w:t xml:space="preserve">capabilities with marginal differences in personality, safety defaults, and pricing structure. The competitive dynamic is a cost-per-token race dressed up as a capability race. This is precisely the market structure that produces bubbles — and corrections.</w:t>
      </w:r>
      <w:r/>
    </w:p>
    <w:p>
      <w:pPr>
        <w:pBdr/>
        <w:spacing w:after="180" w:before="0"/>
        <w:ind/>
        <w:jc w:val="both"/>
        <w:rPr/>
      </w:pPr>
      <w:r>
        <w:rPr>
          <w:rFonts w:ascii="Arial" w:hAnsi="Arial" w:eastAsia="Arial" w:cs="Arial"/>
          <w:sz w:val="22"/>
          <w:szCs w:val="22"/>
        </w:rPr>
        <w:t xml:space="preserve">HEAL offers a different competitive architecture entirely — one built on the asset that current models cannot provide and that enterprise customers increasingly require: demonstrable, auditable epistemic reliability.</w:t>
      </w:r>
      <w:r/>
    </w:p>
    <w:p>
      <w:pPr>
        <w:pStyle w:val="916"/>
        <w:pBdr/>
        <w:spacing/>
        <w:ind/>
        <w:rPr/>
      </w:pPr>
      <w:r>
        <w:rPr>
          <w:rFonts w:ascii="Arial" w:hAnsi="Arial" w:eastAsia="Arial" w:cs="Arial"/>
          <w:b/>
          <w:bCs/>
          <w:color w:val="2e5090"/>
          <w:sz w:val="26"/>
          <w:szCs w:val="26"/>
        </w:rPr>
        <w:t xml:space="preserve">The Platform Model</w:t>
      </w:r>
      <w:r/>
    </w:p>
    <w:p>
      <w:pPr>
        <w:pBdr/>
        <w:spacing w:after="180" w:before="0"/>
        <w:ind/>
        <w:jc w:val="both"/>
        <w:rPr/>
      </w:pPr>
      <w:r>
        <w:rPr>
          <w:rFonts w:ascii="Arial" w:hAnsi="Arial" w:eastAsia="Arial" w:cs="Arial"/>
          <w:sz w:val="22"/>
          <w:szCs w:val="22"/>
        </w:rPr>
        <w:t xml:space="preserve">The HEAL business model separates the AI stack into components with fundamentally different economics, creating the structure of a platform business rather than a product business.</w:t>
      </w:r>
      <w:r/>
    </w:p>
    <w:p>
      <w:pPr>
        <w:pBdr/>
        <w:spacing w:after="180" w:before="0"/>
        <w:ind/>
        <w:jc w:val="both"/>
        <w:rPr/>
      </w:pPr>
      <w:r>
        <w:rPr>
          <w:rFonts w:ascii="Arial" w:hAnsi="Arial" w:eastAsia="Arial" w:cs="Arial"/>
          <w:sz w:val="22"/>
          <w:szCs w:val="22"/>
        </w:rPr>
        <w:t xml:space="preserve">Tiers 1 and 2 become the chassis — a certified, validated, epistemologically trustworthy foundation built once and amortized a</w:t>
      </w:r>
      <w:r>
        <w:rPr>
          <w:rFonts w:ascii="Arial" w:hAnsi="Arial" w:eastAsia="Arial" w:cs="Arial"/>
          <w:sz w:val="22"/>
          <w:szCs w:val="22"/>
        </w:rPr>
        <w:t xml:space="preserve">cross every product built on top of it. Building this chassis is expensive. Rigorous curation, verification against primary sources, governance processes, and ongoing maintenance are not cheap operations. But a chassis needs to be built only once, and once</w:t>
      </w:r>
      <w:r>
        <w:rPr>
          <w:rFonts w:ascii="Arial" w:hAnsi="Arial" w:eastAsia="Arial" w:cs="Arial"/>
          <w:sz w:val="22"/>
          <w:szCs w:val="22"/>
        </w:rPr>
        <w:t xml:space="preserve"> built it becomes an asset that is genuinely difficult to replicate quickly. The verification relationships with authoritative sources, the governance infrastructure, the institutional trust that accumulates over time — these are durable competitive moats.</w:t>
      </w:r>
      <w:r/>
    </w:p>
    <w:p>
      <w:pPr>
        <w:pBdr/>
        <w:spacing w:after="180" w:before="0"/>
        <w:ind/>
        <w:jc w:val="both"/>
        <w:rPr/>
      </w:pPr>
      <w:r>
        <w:rPr>
          <w:rFonts w:ascii="Arial" w:hAnsi="Arial" w:eastAsia="Arial" w:cs="Arial"/>
          <w:sz w:val="22"/>
          <w:szCs w:val="22"/>
        </w:rPr>
        <w:t xml:space="preserve">The analogy is instructive: Intel builds a processor architecture that every device manufacturer builds around. The OEMs are not rebuilding t</w:t>
      </w:r>
      <w:r>
        <w:rPr>
          <w:rFonts w:ascii="Arial" w:hAnsi="Arial" w:eastAsia="Arial" w:cs="Arial"/>
          <w:sz w:val="22"/>
          <w:szCs w:val="22"/>
        </w:rPr>
        <w:t xml:space="preserve">he silicon from scratch. They are building on a trusted foundation whose reliability is established and whose cost is amortized across the entire ecosystem. The chassis earns its value by being trustworthy enough that no one wants to build a competing one.</w:t>
      </w:r>
      <w:r/>
    </w:p>
    <w:p>
      <w:pPr>
        <w:pBdr/>
        <w:spacing w:after="180" w:before="0"/>
        <w:ind/>
        <w:jc w:val="both"/>
        <w:rPr/>
      </w:pPr>
      <w:r>
        <w:rPr>
          <w:rFonts w:ascii="Arial" w:hAnsi="Arial" w:eastAsia="Arial" w:cs="Arial"/>
          <w:sz w:val="22"/>
          <w:szCs w:val="22"/>
        </w:rPr>
        <w:t xml:space="preserve">Tier 3</w:t>
      </w:r>
      <w:r>
        <w:rPr>
          <w:rFonts w:ascii="Arial" w:hAnsi="Arial" w:eastAsia="Arial" w:cs="Arial"/>
          <w:sz w:val="22"/>
          <w:szCs w:val="22"/>
        </w:rPr>
        <w:t xml:space="preserve"> is where differentiation lives, and differentiation at Tier 3 is fast, cheap, and infinitely customizable relative to foundation model training. A biotech firm needs different domain knowledge than a law firm. A financial institution needs different domai</w:t>
      </w:r>
      <w:r>
        <w:rPr>
          <w:rFonts w:ascii="Arial" w:hAnsi="Arial" w:eastAsia="Arial" w:cs="Arial"/>
          <w:sz w:val="22"/>
          <w:szCs w:val="22"/>
        </w:rPr>
        <w:t xml:space="preserve">n knowledge than a hospital system. Under HEAL, each vertical customer gets its own Tier 3 built on the same Tier 1-2 chassis, inheriting its reliability and trustworthiness. The customization cost is a fraction of building a foundation model from scratch.</w:t>
      </w:r>
      <w:r/>
    </w:p>
    <w:p>
      <w:pPr>
        <w:pBdr/>
        <w:spacing w:after="180" w:before="0"/>
        <w:ind/>
        <w:jc w:val="both"/>
        <w:rPr/>
      </w:pPr>
      <w:r>
        <w:rPr>
          <w:rFonts w:ascii="Arial" w:hAnsi="Arial" w:eastAsia="Arial" w:cs="Arial"/>
          <w:sz w:val="22"/>
          <w:szCs w:val="22"/>
        </w:rPr>
        <w:t xml:space="preserve">Tier 4 becomes a configuration layer — an explicit, auditable catalog of communication and framing options that operators select and users can inspect. Parker, Van Alstyne, and Choudary (2016) identified the key dy</w:t>
      </w:r>
      <w:r>
        <w:rPr>
          <w:rFonts w:ascii="Arial" w:hAnsi="Arial" w:eastAsia="Arial" w:cs="Arial"/>
          <w:sz w:val="22"/>
          <w:szCs w:val="22"/>
        </w:rPr>
        <w:t xml:space="preserve">namic of platform businesses: value accrues to the platform by enabling interaction and customization across a user ecosystem rather than by delivering a fixed product. HEAL’s Tier 3-4 structure is exactly this dynamic applied to AI knowledge architecture.</w:t>
      </w:r>
      <w:r/>
    </w:p>
    <w:p>
      <w:pPr>
        <w:pStyle w:val="916"/>
        <w:pBdr/>
        <w:spacing/>
        <w:ind/>
        <w:rPr/>
      </w:pPr>
      <w:r>
        <w:rPr>
          <w:rFonts w:ascii="Arial" w:hAnsi="Arial" w:eastAsia="Arial" w:cs="Arial"/>
          <w:b/>
          <w:bCs/>
          <w:color w:val="2e5090"/>
          <w:sz w:val="26"/>
          <w:szCs w:val="26"/>
        </w:rPr>
        <w:t xml:space="preserve">The Enterprise Trust Premium</w:t>
      </w:r>
      <w:r/>
    </w:p>
    <w:p>
      <w:pPr>
        <w:pBdr/>
        <w:spacing w:after="180" w:before="0"/>
        <w:ind/>
        <w:jc w:val="both"/>
        <w:rPr/>
      </w:pPr>
      <w:r>
        <w:rPr>
          <w:rFonts w:ascii="Arial" w:hAnsi="Arial" w:eastAsia="Arial" w:cs="Arial"/>
          <w:sz w:val="22"/>
          <w:szCs w:val="22"/>
        </w:rPr>
        <w:t xml:space="preserve">Enterprise customers in regulated industries do not need the most capable AI. They need the most trustworthy AI — and they will pay a premium for it when they can verify the claim. The verification is the product.</w:t>
      </w:r>
      <w:r/>
    </w:p>
    <w:p>
      <w:pPr>
        <w:pBdr/>
        <w:spacing w:after="180" w:before="0"/>
        <w:ind/>
        <w:jc w:val="both"/>
        <w:rPr/>
      </w:pPr>
      <w:r>
        <w:rPr>
          <w:rFonts w:ascii="Arial" w:hAnsi="Arial" w:eastAsia="Arial" w:cs="Arial"/>
          <w:sz w:val="22"/>
          <w:szCs w:val="22"/>
        </w:rPr>
        <w:t xml:space="preserve">A law firm cannot deploy a model that confabulates case citations with the same confidence as accurate ones. A hospital system cannot operate clinical decision support on a model whose confidence scores are demonstrably decoupled from acc</w:t>
      </w:r>
      <w:r>
        <w:rPr>
          <w:rFonts w:ascii="Arial" w:hAnsi="Arial" w:eastAsia="Arial" w:cs="Arial"/>
          <w:sz w:val="22"/>
          <w:szCs w:val="22"/>
        </w:rPr>
        <w:t xml:space="preserve">uracy. A financial institution cannot build customer-facing products on a foundation whose embedded preferences are invisible to compliance teams. These are the actual deployment blockers that are keeping enterprise AI pilots from converting to production.</w:t>
      </w:r>
      <w:r/>
    </w:p>
    <w:p>
      <w:pPr>
        <w:pBdr/>
        <w:spacing w:after="180" w:before="0"/>
        <w:ind/>
        <w:jc w:val="both"/>
        <w:rPr/>
      </w:pPr>
      <w:r>
        <w:rPr>
          <w:rFonts w:ascii="Arial" w:hAnsi="Arial" w:eastAsia="Arial" w:cs="Arial"/>
          <w:sz w:val="22"/>
          <w:szCs w:val="22"/>
        </w:rPr>
        <w:t xml:space="preserve">A HEAL-based system can provide what these customers require: a demonstrable, auditable account of what the system </w:t>
      </w:r>
      <w:r>
        <w:rPr>
          <w:rFonts w:ascii="Arial" w:hAnsi="Arial" w:eastAsia="Arial" w:cs="Arial"/>
          <w:sz w:val="22"/>
          <w:szCs w:val="22"/>
        </w:rPr>
        <w:t xml:space="preserve">knows, how confidently it knows it, where that knowledge came from, and when it was last verified. This is not a sales claim. It is a property of the architecture that can be demonstrated in procurement, in compliance review, and in regulatory examination.</w:t>
      </w:r>
      <w:r/>
    </w:p>
    <w:p>
      <w:pPr>
        <w:pStyle w:val="916"/>
        <w:pBdr/>
        <w:spacing/>
        <w:ind/>
        <w:rPr/>
      </w:pPr>
      <w:r>
        <w:rPr>
          <w:rFonts w:ascii="Arial" w:hAnsi="Arial" w:eastAsia="Arial" w:cs="Arial"/>
          <w:b/>
          <w:bCs/>
          <w:color w:val="2e5090"/>
          <w:sz w:val="26"/>
          <w:szCs w:val="26"/>
        </w:rPr>
        <w:t xml:space="preserve">The Regulatory Tailwind</w:t>
      </w:r>
      <w:r/>
    </w:p>
    <w:p>
      <w:pPr>
        <w:pBdr/>
        <w:spacing w:after="180" w:before="0"/>
        <w:ind/>
        <w:jc w:val="both"/>
        <w:rPr/>
      </w:pPr>
      <w:r>
        <w:rPr>
          <w:rFonts w:ascii="Arial" w:hAnsi="Arial" w:eastAsia="Arial" w:cs="Arial"/>
          <w:sz w:val="22"/>
          <w:szCs w:val="22"/>
        </w:rPr>
        <w:t xml:space="preserve">Regulatory frameworks for AI are converging globally on exactly the prope</w:t>
      </w:r>
      <w:r>
        <w:rPr>
          <w:rFonts w:ascii="Arial" w:hAnsi="Arial" w:eastAsia="Arial" w:cs="Arial"/>
          <w:sz w:val="22"/>
          <w:szCs w:val="22"/>
        </w:rPr>
        <w:t xml:space="preserve">rties HEAL provides. The EU AI Act’s requirements for high-risk AI systems include explainability, auditability, and documented data governance — properties that HEAL’s tier structure and metadata layer satisfy by design. Emerging FDA guidance on AI-assist</w:t>
      </w:r>
      <w:r>
        <w:rPr>
          <w:rFonts w:ascii="Arial" w:hAnsi="Arial" w:eastAsia="Arial" w:cs="Arial"/>
          <w:sz w:val="22"/>
          <w:szCs w:val="22"/>
        </w:rPr>
        <w:t xml:space="preserve">ed medical devices, SEC attention to AI in financial services disclosures, and FTC enforcement actions around AI capability claims are all moving in the same direction: require AI systems to demonstrate the provenance and confidence basis of their outputs.</w:t>
      </w:r>
      <w:r/>
    </w:p>
    <w:p>
      <w:pPr>
        <w:pBdr/>
        <w:spacing w:after="180" w:before="0"/>
        <w:ind/>
        <w:jc w:val="both"/>
        <w:rPr/>
      </w:pPr>
      <w:r>
        <w:rPr>
          <w:rFonts w:ascii="Arial" w:hAnsi="Arial" w:eastAsia="Arial" w:cs="Arial"/>
          <w:sz w:val="22"/>
          <w:szCs w:val="22"/>
        </w:rPr>
        <w:t xml:space="preserve">HEAL is not designed primarily as a compliance solution. It is desi</w:t>
      </w:r>
      <w:r>
        <w:rPr>
          <w:rFonts w:ascii="Arial" w:hAnsi="Arial" w:eastAsia="Arial" w:cs="Arial"/>
          <w:sz w:val="22"/>
          <w:szCs w:val="22"/>
        </w:rPr>
        <w:t xml:space="preserve">gned to solve the underlying problem that regulations are attempting to address. Compliance follows as a natural consequence. Organizations that build on HEAL do not need a separate compliance layer for AI reliability — the reliability is the architecture.</w:t>
      </w:r>
      <w:r/>
    </w:p>
    <w:p>
      <w:pPr>
        <w:pStyle w:val="916"/>
        <w:pBdr/>
        <w:spacing/>
        <w:ind/>
        <w:rPr/>
      </w:pPr>
      <w:r>
        <w:rPr>
          <w:rFonts w:ascii="Arial" w:hAnsi="Arial" w:eastAsia="Arial" w:cs="Arial"/>
          <w:b/>
          <w:bCs/>
          <w:color w:val="2e5090"/>
          <w:sz w:val="26"/>
          <w:szCs w:val="26"/>
        </w:rPr>
        <w:t xml:space="preserve">The Transition Revenue Bridge</w:t>
      </w:r>
      <w:r/>
    </w:p>
    <w:p>
      <w:pPr>
        <w:pBdr/>
        <w:spacing w:after="180" w:before="0"/>
        <w:ind/>
        <w:jc w:val="both"/>
        <w:rPr/>
      </w:pPr>
      <w:r>
        <w:rPr>
          <w:rFonts w:ascii="Arial" w:hAnsi="Arial" w:eastAsia="Arial" w:cs="Arial"/>
          <w:sz w:val="22"/>
          <w:szCs w:val="22"/>
        </w:rPr>
        <w:t xml:space="preserve">The full HEAL framework, as a ground-up architectural specification, represents a multi-year build. Revenue does not need to wait for the full build. HEAL governance principles — explicit </w:t>
      </w:r>
      <w:r>
        <w:rPr>
          <w:rFonts w:ascii="Arial" w:hAnsi="Arial" w:eastAsia="Arial" w:cs="Arial"/>
          <w:sz w:val="22"/>
          <w:szCs w:val="22"/>
        </w:rPr>
        <w:t xml:space="preserve">tier classification, confidence metadata, source provenance tracking, and Tier 4 separation — can be implemented as a structured overlay on existing models during the transition period between the correction and the maturation of native HEAL architectures.</w:t>
      </w:r>
      <w:r/>
    </w:p>
    <w:p>
      <w:pPr>
        <w:pBdr/>
        <w:spacing w:after="180" w:before="0"/>
        <w:ind/>
        <w:jc w:val="both"/>
        <w:rPr/>
      </w:pPr>
      <w:r>
        <w:rPr>
          <w:rFonts w:ascii="Arial" w:hAnsi="Arial" w:eastAsia="Arial" w:cs="Arial"/>
          <w:sz w:val="22"/>
          <w:szCs w:val="22"/>
        </w:rPr>
        <w:t xml:space="preserve">This transition product is not the end state, and should not be positioned as such. But it is a revenue bridge that serves real customer needs in the near term, demonstrates the HEAL methodology in p</w:t>
      </w:r>
      <w:r>
        <w:rPr>
          <w:rFonts w:ascii="Arial" w:hAnsi="Arial" w:eastAsia="Arial" w:cs="Arial"/>
          <w:sz w:val="22"/>
          <w:szCs w:val="22"/>
        </w:rPr>
        <w:t xml:space="preserve">roduction environments, and builds the institutional relationships and governance infrastructure the full architecture will require. The staged commercialization path means HEAL can generate revenue from both the near term and the long term simultaneously.</w:t>
      </w:r>
      <w:r/>
    </w:p>
    <w:p>
      <w:pPr>
        <w:pBdr/>
        <w:spacing/>
        <w:ind/>
        <w:rPr/>
      </w:pPr>
      <w:r>
        <w:br w:type="page" w:clear="all"/>
      </w:r>
      <w:r/>
    </w:p>
    <w:p>
      <w:pPr>
        <w:pStyle w:val="915"/>
        <w:pBdr/>
        <w:spacing/>
        <w:ind/>
        <w:rPr/>
      </w:pPr>
      <w:r>
        <w:rPr>
          <w:rFonts w:ascii="Arial" w:hAnsi="Arial" w:eastAsia="Arial" w:cs="Arial"/>
          <w:b/>
          <w:bCs/>
          <w:color w:val="1f3864"/>
          <w:sz w:val="34"/>
          <w:szCs w:val="34"/>
        </w:rPr>
        <w:t xml:space="preserve">Section 5 — Implementation Roadmap</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This is not a moonshot. It is an engineering program with defined phases, each of which delivers standalone value and funds the next.</w:t>
      </w:r>
      <w:r/>
    </w:p>
    <w:p>
      <w:pPr>
        <w:pBdr/>
        <w:spacing w:after="180" w:before="0"/>
        <w:ind/>
        <w:jc w:val="both"/>
        <w:rPr/>
      </w:pPr>
      <w:r>
        <w:rPr>
          <w:rFonts w:ascii="Arial" w:hAnsi="Arial" w:eastAsia="Arial" w:cs="Arial"/>
          <w:sz w:val="22"/>
          <w:szCs w:val="22"/>
        </w:rPr>
        <w:t xml:space="preserve">The most</w:t>
      </w:r>
      <w:r>
        <w:rPr>
          <w:rFonts w:ascii="Arial" w:hAnsi="Arial" w:eastAsia="Arial" w:cs="Arial"/>
          <w:sz w:val="22"/>
          <w:szCs w:val="22"/>
        </w:rPr>
        <w:t xml:space="preserve"> common objection to architectural alternatives to current AI systems is that the switching costs are prohibitive — that rebuilding the foundation requires abandoning existing investment at a cost and timeline that cannot be justified. This objection confl</w:t>
      </w:r>
      <w:r>
        <w:rPr>
          <w:rFonts w:ascii="Arial" w:hAnsi="Arial" w:eastAsia="Arial" w:cs="Arial"/>
          <w:sz w:val="22"/>
          <w:szCs w:val="22"/>
        </w:rPr>
        <w:t xml:space="preserve">ates two different things: the cost of replacing existing models (high) and the cost of building HEAL in parallel (phased, manageable, and self-funding). HEAL is a parallel build that becomes the standard as the correction creates the market demand for it.</w:t>
      </w:r>
      <w:r/>
    </w:p>
    <w:p>
      <w:pPr>
        <w:pStyle w:val="916"/>
        <w:pBdr/>
        <w:spacing/>
        <w:ind/>
        <w:rPr/>
      </w:pPr>
      <w:r>
        <w:rPr>
          <w:rFonts w:ascii="Arial" w:hAnsi="Arial" w:eastAsia="Arial" w:cs="Arial"/>
          <w:b/>
          <w:bCs/>
          <w:color w:val="2e5090"/>
          <w:sz w:val="26"/>
          <w:szCs w:val="26"/>
        </w:rPr>
        <w:t xml:space="preserve">Phase 1 — Tier 1-2 Dataset Curation and Certification</w:t>
      </w:r>
      <w:r/>
    </w:p>
    <w:p>
      <w:pPr>
        <w:pBdr/>
        <w:spacing w:after="180" w:before="0"/>
        <w:ind/>
        <w:jc w:val="both"/>
        <w:rPr/>
      </w:pPr>
      <w:r>
        <w:rPr>
          <w:rFonts w:ascii="Arial" w:hAnsi="Arial" w:eastAsia="Arial" w:cs="Arial"/>
          <w:sz w:val="22"/>
          <w:szCs w:val="22"/>
        </w:rPr>
        <w:t xml:space="preserve">Phase 1 focuses exclusively on building the epistemological chassis. This means establishing institutional relationships with authoritative primary s</w:t>
      </w:r>
      <w:r>
        <w:rPr>
          <w:rFonts w:ascii="Arial" w:hAnsi="Arial" w:eastAsia="Arial" w:cs="Arial"/>
          <w:sz w:val="22"/>
          <w:szCs w:val="22"/>
        </w:rPr>
        <w:t xml:space="preserve">ources — NIST, IUPAC, NCBI, established legal and regulatory bodies, peer-reviewed scientific literature through established indexing systems — and building the governance infrastructure to ingest, verify, and maintain data from those sources continuously.</w:t>
      </w:r>
      <w:r/>
    </w:p>
    <w:p>
      <w:pPr>
        <w:pBdr/>
        <w:spacing w:after="180" w:before="0"/>
        <w:ind/>
        <w:jc w:val="both"/>
        <w:rPr/>
      </w:pPr>
      <w:r>
        <w:rPr>
          <w:rFonts w:ascii="Arial" w:hAnsi="Arial" w:eastAsia="Arial" w:cs="Arial"/>
          <w:sz w:val="22"/>
          <w:szCs w:val="22"/>
        </w:rPr>
        <w:t xml:space="preserve">Phase 1 deliberately constrains scope to information that is uncontroversially verifiable. This constraint is the feature. The governance challenge for Tier 1 is trac</w:t>
      </w:r>
      <w:r>
        <w:rPr>
          <w:rFonts w:ascii="Arial" w:hAnsi="Arial" w:eastAsia="Arial" w:cs="Arial"/>
          <w:sz w:val="22"/>
          <w:szCs w:val="22"/>
        </w:rPr>
        <w:t xml:space="preserve">table precisely because the content is so non-controversial that institutional agreement on standards is achievable. The governance debates that slow broader AI development — about values, framings, and interpretations — do not apply to the periodic table.</w:t>
      </w:r>
      <w:r/>
    </w:p>
    <w:p>
      <w:pPr>
        <w:pBdr/>
        <w:spacing w:after="180" w:before="0"/>
        <w:ind/>
        <w:jc w:val="both"/>
        <w:rPr/>
      </w:pPr>
      <w:r>
        <w:rPr>
          <w:rFonts w:ascii="Arial" w:hAnsi="Arial" w:eastAsia="Arial" w:cs="Arial"/>
          <w:sz w:val="22"/>
          <w:szCs w:val="22"/>
        </w:rPr>
        <w:t xml:space="preserve">Phase 1 deliverable: a certified, audit</w:t>
      </w:r>
      <w:r>
        <w:rPr>
          <w:rFonts w:ascii="Arial" w:hAnsi="Arial" w:eastAsia="Arial" w:cs="Arial"/>
          <w:sz w:val="22"/>
          <w:szCs w:val="22"/>
        </w:rPr>
        <w:t xml:space="preserve">able Tier 1-2 corpus with accompanying metadata schema, governance documentation, verification methodology, and institutional source relationships. This corpus has standalone commercial value as a licensed data asset before a single model is trained on it.</w:t>
      </w:r>
      <w:r/>
    </w:p>
    <w:p>
      <w:pPr>
        <w:pStyle w:val="916"/>
        <w:pBdr/>
        <w:spacing/>
        <w:ind/>
        <w:rPr/>
      </w:pPr>
      <w:r>
        <w:rPr>
          <w:rFonts w:ascii="Arial" w:hAnsi="Arial" w:eastAsia="Arial" w:cs="Arial"/>
          <w:b/>
          <w:bCs/>
          <w:color w:val="2e5090"/>
          <w:sz w:val="26"/>
          <w:szCs w:val="26"/>
        </w:rPr>
        <w:t xml:space="preserve">Phase 2 — Pre-Training on Stratified Architecture</w:t>
      </w:r>
      <w:r/>
    </w:p>
    <w:p>
      <w:pPr>
        <w:pBdr/>
        <w:spacing w:after="180" w:before="0"/>
        <w:ind/>
        <w:jc w:val="both"/>
        <w:rPr/>
      </w:pPr>
      <w:r>
        <w:rPr>
          <w:rFonts w:ascii="Arial" w:hAnsi="Arial" w:eastAsia="Arial" w:cs="Arial"/>
          <w:sz w:val="22"/>
          <w:szCs w:val="22"/>
        </w:rPr>
        <w:t xml:space="preserve">Phase 2 trains foundation models on the stratified HEAL corpus with architectural modifications that maintain tier separation through training and inference. Existing tra</w:t>
      </w:r>
      <w:r>
        <w:rPr>
          <w:rFonts w:ascii="Arial" w:hAnsi="Arial" w:eastAsia="Arial" w:cs="Arial"/>
          <w:sz w:val="22"/>
          <w:szCs w:val="22"/>
        </w:rPr>
        <w:t xml:space="preserve">nsformer architectures require modification to represent epistemic tier as a first-class concern — not a post-hoc annotation applied after generation, but a structural property that shapes confidence representation and output generation at the model level.</w:t>
      </w:r>
      <w:r/>
    </w:p>
    <w:p>
      <w:pPr>
        <w:pBdr/>
        <w:spacing w:after="180" w:before="0"/>
        <w:ind/>
        <w:jc w:val="both"/>
        <w:rPr/>
      </w:pPr>
      <w:r>
        <w:rPr>
          <w:rFonts w:ascii="Arial" w:hAnsi="Arial" w:eastAsia="Arial" w:cs="Arial"/>
          <w:sz w:val="22"/>
          <w:szCs w:val="22"/>
        </w:rPr>
        <w:t xml:space="preserve">The research foundation exists. Lewis et al. (2020) demonstra</w:t>
      </w:r>
      <w:r>
        <w:rPr>
          <w:rFonts w:ascii="Arial" w:hAnsi="Arial" w:eastAsia="Arial" w:cs="Arial"/>
          <w:sz w:val="22"/>
          <w:szCs w:val="22"/>
        </w:rPr>
        <w:t xml:space="preserve">ted with Retrieval-Augmented Generation that separating knowledge retrieval from language generation produces measurable improvements in factual accuracy and reduces hallucination rates for knowledge-intensive tasks. Kadavath et al. (2022) established meth</w:t>
      </w:r>
      <w:r>
        <w:rPr>
          <w:rFonts w:ascii="Arial" w:hAnsi="Arial" w:eastAsia="Arial" w:cs="Arial"/>
          <w:sz w:val="22"/>
          <w:szCs w:val="22"/>
        </w:rPr>
        <w:t xml:space="preserve">odologies for improving confidence calibration in large language models. HEAL extends and systematizes these existing research directions rather than requiring entirely novel approaches — which makes the timeline credible and the technical risk manageable.</w:t>
      </w:r>
      <w:r/>
    </w:p>
    <w:p>
      <w:pPr>
        <w:pBdr/>
        <w:spacing w:after="180" w:before="0"/>
        <w:ind/>
        <w:jc w:val="both"/>
        <w:rPr/>
      </w:pPr>
      <w:r>
        <w:rPr>
          <w:rFonts w:ascii="Arial" w:hAnsi="Arial" w:eastAsia="Arial" w:cs="Arial"/>
          <w:sz w:val="22"/>
          <w:szCs w:val="22"/>
        </w:rPr>
        <w:t xml:space="preserve">Phase 2 deliver</w:t>
      </w:r>
      <w:r>
        <w:rPr>
          <w:rFonts w:ascii="Arial" w:hAnsi="Arial" w:eastAsia="Arial" w:cs="Arial"/>
          <w:sz w:val="22"/>
          <w:szCs w:val="22"/>
        </w:rPr>
        <w:t xml:space="preserve">able: a HEAL-trained foundation model with demonstrably improved confidence calibration, auditable tier-separated knowledge representation, and a published evaluation methodology that enterprise customers can use to verify reliability claims independently.</w:t>
      </w:r>
      <w:r/>
    </w:p>
    <w:p>
      <w:pPr>
        <w:pStyle w:val="916"/>
        <w:pBdr/>
        <w:spacing/>
        <w:ind/>
        <w:rPr/>
      </w:pPr>
      <w:r>
        <w:rPr>
          <w:rFonts w:ascii="Arial" w:hAnsi="Arial" w:eastAsia="Arial" w:cs="Arial"/>
          <w:b/>
          <w:bCs/>
          <w:color w:val="2e5090"/>
          <w:sz w:val="26"/>
          <w:szCs w:val="26"/>
        </w:rPr>
        <w:t xml:space="preserve">Phase 3 — Tier 3 Vertical Customization Platform</w:t>
      </w:r>
      <w:r/>
    </w:p>
    <w:p>
      <w:pPr>
        <w:pBdr/>
        <w:spacing w:after="180" w:before="0"/>
        <w:ind/>
        <w:jc w:val="both"/>
        <w:rPr/>
      </w:pPr>
      <w:r>
        <w:rPr>
          <w:rFonts w:ascii="Arial" w:hAnsi="Arial" w:eastAsia="Arial" w:cs="Arial"/>
          <w:sz w:val="22"/>
          <w:szCs w:val="22"/>
        </w:rPr>
        <w:t xml:space="preserve">Phase 3 builds the tooling that allows enterprise customers to construct and maintain their own Tier 3 domain knowledge layer</w:t>
      </w:r>
      <w:r>
        <w:rPr>
          <w:rFonts w:ascii="Arial" w:hAnsi="Arial" w:eastAsia="Arial" w:cs="Arial"/>
          <w:sz w:val="22"/>
          <w:szCs w:val="22"/>
        </w:rPr>
        <w:t xml:space="preserve">s on top of the shared Tier 1-2 chassis. This is the layer that generates the recurring revenue model: every enterprise customer is a Tier 3 implementation, and every implementation creates ongoing maintenance, update, and governance service relationships.</w:t>
      </w:r>
      <w:r/>
    </w:p>
    <w:p>
      <w:pPr>
        <w:pBdr/>
        <w:spacing w:after="180" w:before="0"/>
        <w:ind/>
        <w:jc w:val="both"/>
        <w:rPr/>
      </w:pPr>
      <w:r>
        <w:rPr>
          <w:rFonts w:ascii="Arial" w:hAnsi="Arial" w:eastAsia="Arial" w:cs="Arial"/>
          <w:sz w:val="22"/>
          <w:szCs w:val="22"/>
        </w:rPr>
        <w:t xml:space="preserve">The Tier 3 platform must be accessible to domain experts who are not AI engineers. A hospital’s clinical informatics team should be able to curate</w:t>
      </w:r>
      <w:r>
        <w:rPr>
          <w:rFonts w:ascii="Arial" w:hAnsi="Arial" w:eastAsia="Arial" w:cs="Arial"/>
          <w:sz w:val="22"/>
          <w:szCs w:val="22"/>
        </w:rPr>
        <w:t xml:space="preserve">, govern, and update their domain knowledge layer without requiring machine learning expertise. A law firm’s knowledge management team should be able to maintain their Tier 3 using existing information governance workflows with HEAL tooling layered on top.</w:t>
      </w:r>
      <w:r/>
    </w:p>
    <w:p>
      <w:pPr>
        <w:pBdr/>
        <w:spacing w:after="180" w:before="0"/>
        <w:ind/>
        <w:jc w:val="both"/>
        <w:rPr/>
      </w:pPr>
      <w:r>
        <w:rPr>
          <w:rFonts w:ascii="Arial" w:hAnsi="Arial" w:eastAsia="Arial" w:cs="Arial"/>
          <w:sz w:val="22"/>
          <w:szCs w:val="22"/>
        </w:rPr>
        <w:t xml:space="preserve">Phase 3 deliverable: a Tier 3 customization platform with governance tooling, domain expert interfaces, enterprise onboarding methodology, and documented integration patterns for major regulated industry verticals.</w:t>
      </w:r>
      <w:r/>
    </w:p>
    <w:p>
      <w:pPr>
        <w:pStyle w:val="916"/>
        <w:pBdr/>
        <w:spacing/>
        <w:ind/>
        <w:rPr/>
      </w:pPr>
      <w:r>
        <w:rPr>
          <w:rFonts w:ascii="Arial" w:hAnsi="Arial" w:eastAsia="Arial" w:cs="Arial"/>
          <w:b/>
          <w:bCs/>
          <w:color w:val="2e5090"/>
          <w:sz w:val="26"/>
          <w:szCs w:val="26"/>
        </w:rPr>
        <w:t xml:space="preserve">Phase 4 — Tier 4 Configuration System</w:t>
      </w:r>
      <w:r/>
    </w:p>
    <w:p>
      <w:pPr>
        <w:pBdr/>
        <w:spacing w:after="180" w:before="0"/>
        <w:ind/>
        <w:jc w:val="both"/>
        <w:rPr/>
      </w:pPr>
      <w:r>
        <w:rPr>
          <w:rFonts w:ascii="Arial" w:hAnsi="Arial" w:eastAsia="Arial" w:cs="Arial"/>
          <w:sz w:val="22"/>
          <w:szCs w:val="22"/>
        </w:rPr>
        <w:t xml:space="preserve">Phase 4 builds the explicit, auditable Tier 4 configuration layer — the interface through which operators select communication style, cultura</w:t>
      </w:r>
      <w:r>
        <w:rPr>
          <w:rFonts w:ascii="Arial" w:hAnsi="Arial" w:eastAsia="Arial" w:cs="Arial"/>
          <w:sz w:val="22"/>
          <w:szCs w:val="22"/>
        </w:rPr>
        <w:t xml:space="preserve">l framing, tonal defaults, and value-adjacent preferences for their deployment context. This phase includes the configuration catalog, the audit logging infrastructure, and the user-facing transparency mechanisms that make the active configuration visible.</w:t>
      </w:r>
      <w:r/>
    </w:p>
    <w:p>
      <w:pPr>
        <w:pBdr/>
        <w:spacing w:after="180" w:before="0"/>
        <w:ind/>
        <w:jc w:val="both"/>
        <w:rPr/>
      </w:pPr>
      <w:r>
        <w:rPr>
          <w:rFonts w:ascii="Arial" w:hAnsi="Arial" w:eastAsia="Arial" w:cs="Arial"/>
          <w:sz w:val="22"/>
          <w:szCs w:val="22"/>
        </w:rPr>
        <w:t xml:space="preserve">The Tier 4 configuration catalog is a product in itself: documented, auditable communication profiles that o</w:t>
      </w:r>
      <w:r>
        <w:rPr>
          <w:rFonts w:ascii="Arial" w:hAnsi="Arial" w:eastAsia="Arial" w:cs="Arial"/>
          <w:sz w:val="22"/>
          <w:szCs w:val="22"/>
        </w:rPr>
        <w:t xml:space="preserve">perators choose from rather than inherit unknowingly. The ability to tell enterprise customers, regulators, and end users exactly what communicative preferences their AI deployment is operating under is a differentiator no current model can offer honestly.</w:t>
      </w:r>
      <w:r/>
    </w:p>
    <w:p>
      <w:pPr>
        <w:pBdr/>
        <w:spacing w:after="180" w:before="0"/>
        <w:ind/>
        <w:jc w:val="both"/>
        <w:rPr/>
      </w:pPr>
      <w:r>
        <w:rPr>
          <w:rFonts w:ascii="Arial" w:hAnsi="Arial" w:eastAsia="Arial" w:cs="Arial"/>
          <w:sz w:val="22"/>
          <w:szCs w:val="22"/>
        </w:rPr>
        <w:t xml:space="preserve">Phase 4 deliverable: a Tier 4 configuration system with operator controls, user transparency features, audit logging, and compliance documentation for regulated industry deployment contexts.</w:t>
      </w:r>
      <w:r/>
    </w:p>
    <w:p>
      <w:pPr>
        <w:pBdr/>
        <w:spacing/>
        <w:ind/>
        <w:rPr/>
      </w:pPr>
      <w:r>
        <w:br w:type="page" w:clear="all"/>
      </w:r>
      <w:r/>
    </w:p>
    <w:p>
      <w:pPr>
        <w:pStyle w:val="915"/>
        <w:pBdr/>
        <w:spacing/>
        <w:ind/>
        <w:rPr/>
      </w:pPr>
      <w:r>
        <w:rPr>
          <w:rFonts w:ascii="Arial" w:hAnsi="Arial" w:eastAsia="Arial" w:cs="Arial"/>
          <w:b/>
          <w:bCs/>
          <w:color w:val="1f3864"/>
          <w:sz w:val="34"/>
          <w:szCs w:val="34"/>
        </w:rPr>
        <w:t xml:space="preserve">Section 6 — Limitations and Honest Caveats</w:t>
      </w:r>
      <w:r/>
    </w:p>
    <w:p>
      <w:pPr>
        <w:pBdr>
          <w:bottom w:val="single" w:color="2e5090" w:sz="6" w:space="1"/>
        </w:pBdr>
        <w:spacing w:after="280" w:before="0"/>
        <w:ind/>
        <w:rPr/>
      </w:pPr>
      <w:r/>
      <w:r/>
    </w:p>
    <w:p>
      <w:pPr>
        <w:pBdr/>
        <w:spacing w:after="280" w:before="0"/>
        <w:ind/>
        <w:jc w:val="both"/>
        <w:rPr/>
      </w:pPr>
      <w:r>
        <w:rPr>
          <w:rFonts w:ascii="Arial" w:hAnsi="Arial" w:eastAsia="Arial" w:cs="Arial"/>
          <w:i/>
          <w:iCs/>
          <w:color w:val="555555"/>
          <w:sz w:val="22"/>
          <w:szCs w:val="22"/>
        </w:rPr>
        <w:t xml:space="preserve">A framework that cannot acknowledge its own limitations has not thought carefully enough about itself.</w:t>
      </w:r>
      <w:r/>
    </w:p>
    <w:p>
      <w:pPr>
        <w:pBdr/>
        <w:spacing w:after="180" w:before="0"/>
        <w:ind/>
        <w:jc w:val="both"/>
        <w:rPr/>
      </w:pPr>
      <w:r>
        <w:rPr>
          <w:rFonts w:ascii="Arial" w:hAnsi="Arial" w:eastAsia="Arial" w:cs="Arial"/>
          <w:sz w:val="22"/>
          <w:szCs w:val="22"/>
        </w:rPr>
        <w:t xml:space="preserve">Decision makers are right to distrust proposals that present no acknowledged weaknesses. The credibility of this framework depends on honest engagement with what HEAL does not solve and where genuine challenges remain.</w:t>
      </w:r>
      <w:r/>
    </w:p>
    <w:p>
      <w:pPr>
        <w:pStyle w:val="916"/>
        <w:pBdr/>
        <w:spacing/>
        <w:ind/>
        <w:rPr/>
      </w:pPr>
      <w:r>
        <w:rPr>
          <w:rFonts w:ascii="Arial" w:hAnsi="Arial" w:eastAsia="Arial" w:cs="Arial"/>
          <w:b/>
          <w:bCs/>
          <w:color w:val="2e5090"/>
          <w:sz w:val="26"/>
          <w:szCs w:val="26"/>
        </w:rPr>
        <w:t xml:space="preserve">Tier Boundary Classification Requires Human Judgment</w:t>
      </w:r>
      <w:r/>
    </w:p>
    <w:p>
      <w:pPr>
        <w:pBdr/>
        <w:spacing w:after="180" w:before="0"/>
        <w:ind/>
        <w:jc w:val="both"/>
        <w:rPr/>
      </w:pPr>
      <w:r>
        <w:rPr>
          <w:rFonts w:ascii="Arial" w:hAnsi="Arial" w:eastAsia="Arial" w:cs="Arial"/>
          <w:sz w:val="22"/>
          <w:szCs w:val="22"/>
        </w:rPr>
        <w:t xml:space="preserve">The HEAL framework manages epistemological ambiguity — it does not eliminate it. The boundary between tiers requires human judgment at the margins, and genuine disagreement will arise abo</w:t>
      </w:r>
      <w:r>
        <w:rPr>
          <w:rFonts w:ascii="Arial" w:hAnsi="Arial" w:eastAsia="Arial" w:cs="Arial"/>
          <w:sz w:val="22"/>
          <w:szCs w:val="22"/>
        </w:rPr>
        <w:t xml:space="preserve">ut where specific pieces of information belong. Historical consensus that later proved incorrect, scientific findings not yet achieving peer review, domain knowledge that bridges multiple jurisdictions — these cases do not resolve themselves automatically.</w:t>
      </w:r>
      <w:r/>
    </w:p>
    <w:p>
      <w:pPr>
        <w:pBdr/>
        <w:spacing w:after="180" w:before="0"/>
        <w:ind/>
        <w:jc w:val="both"/>
        <w:rPr/>
      </w:pPr>
      <w:r>
        <w:rPr>
          <w:rFonts w:ascii="Arial" w:hAnsi="Arial" w:eastAsia="Arial" w:cs="Arial"/>
          <w:sz w:val="22"/>
          <w:szCs w:val="22"/>
        </w:rPr>
        <w:t xml:space="preserve">The important distinction is where this ambiguity lives under HEAL versus current architectures. In current architectures, the ambiguity is embedded in the substrate — invisible and unresolvable except </w:t>
      </w:r>
      <w:r>
        <w:rPr>
          <w:rFonts w:ascii="Arial" w:hAnsi="Arial" w:eastAsia="Arial" w:cs="Arial"/>
          <w:sz w:val="22"/>
          <w:szCs w:val="22"/>
        </w:rPr>
        <w:t xml:space="preserve">by retraining. In HEAL, the ambiguity is in the governance layer — visible, documented, and resolvable through defined processes. The same irreducible human judgment is required. HEAL puts it where it can be seen and challenged rather than where it cannot.</w:t>
      </w:r>
      <w:r/>
    </w:p>
    <w:p>
      <w:pPr>
        <w:pStyle w:val="916"/>
        <w:pBdr/>
        <w:spacing/>
        <w:ind/>
        <w:rPr/>
      </w:pPr>
      <w:r>
        <w:rPr>
          <w:rFonts w:ascii="Arial" w:hAnsi="Arial" w:eastAsia="Arial" w:cs="Arial"/>
          <w:b/>
          <w:bCs/>
          <w:color w:val="2e5090"/>
          <w:sz w:val="26"/>
          <w:szCs w:val="26"/>
        </w:rPr>
        <w:t xml:space="preserve">Tier 1 Curation Does Not Scale Linearly</w:t>
      </w:r>
      <w:r/>
    </w:p>
    <w:p>
      <w:pPr>
        <w:pBdr/>
        <w:spacing w:after="180" w:before="0"/>
        <w:ind/>
        <w:jc w:val="both"/>
        <w:rPr/>
      </w:pPr>
      <w:r>
        <w:rPr>
          <w:rFonts w:ascii="Arial" w:hAnsi="Arial" w:eastAsia="Arial" w:cs="Arial"/>
          <w:sz w:val="22"/>
          <w:szCs w:val="22"/>
        </w:rPr>
        <w:t xml:space="preserve">Rigorous verification agai</w:t>
      </w:r>
      <w:r>
        <w:rPr>
          <w:rFonts w:ascii="Arial" w:hAnsi="Arial" w:eastAsia="Arial" w:cs="Arial"/>
          <w:sz w:val="22"/>
          <w:szCs w:val="22"/>
        </w:rPr>
        <w:t xml:space="preserve">nst primary sources does not scale the way that crawling the public internet scales. Building and maintaining the Tier 1 corpus is expensive, slow relative to general data ingestion, and expertise-dependent in ways that create real operational constraints.</w:t>
      </w:r>
      <w:r/>
    </w:p>
    <w:p>
      <w:pPr>
        <w:pBdr/>
        <w:spacing w:after="180" w:before="0"/>
        <w:ind/>
        <w:jc w:val="both"/>
        <w:rPr/>
      </w:pPr>
      <w:r>
        <w:rPr>
          <w:rFonts w:ascii="Arial" w:hAnsi="Arial" w:eastAsia="Arial" w:cs="Arial"/>
          <w:sz w:val="22"/>
          <w:szCs w:val="22"/>
        </w:rPr>
        <w:t xml:space="preserve">This is a deliberate feature, not a bug to be engineered away. The value of Tier 1</w:t>
      </w:r>
      <w:r>
        <w:rPr>
          <w:rFonts w:ascii="Arial" w:hAnsi="Arial" w:eastAsia="Arial" w:cs="Arial"/>
          <w:sz w:val="22"/>
          <w:szCs w:val="22"/>
        </w:rPr>
        <w:t xml:space="preserve"> comes precisely from the rigor that makes it difficult to populate. Relaxing the standards to increase volume would defeat the purpose. Tier 1 is a small, precious, high-value asset — not a large, cheap one — and should be priced and governed accordingly.</w:t>
      </w:r>
      <w:r/>
    </w:p>
    <w:p>
      <w:pPr>
        <w:pStyle w:val="916"/>
        <w:pBdr/>
        <w:spacing/>
        <w:ind/>
        <w:rPr/>
      </w:pPr>
      <w:r>
        <w:rPr>
          <w:rFonts w:ascii="Arial" w:hAnsi="Arial" w:eastAsia="Arial" w:cs="Arial"/>
          <w:b/>
          <w:bCs/>
          <w:color w:val="2e5090"/>
          <w:sz w:val="26"/>
          <w:szCs w:val="26"/>
        </w:rPr>
        <w:t xml:space="preserve">Peer Review Has Known Structural Problems</w:t>
      </w:r>
      <w:r/>
    </w:p>
    <w:p>
      <w:pPr>
        <w:pBdr/>
        <w:spacing w:after="180" w:before="0"/>
        <w:ind/>
        <w:jc w:val="both"/>
        <w:rPr/>
      </w:pPr>
      <w:r>
        <w:rPr>
          <w:rFonts w:ascii="Arial" w:hAnsi="Arial" w:eastAsia="Arial" w:cs="Arial"/>
          <w:sz w:val="22"/>
          <w:szCs w:val="22"/>
        </w:rPr>
        <w:t xml:space="preserve">Tier 2 relies substantially on the peer review system as a quality signal, and the peer review system has well-documented structural problems. Ioannidis (2005) demonstrated that the majority of pu</w:t>
      </w:r>
      <w:r>
        <w:rPr>
          <w:rFonts w:ascii="Arial" w:hAnsi="Arial" w:eastAsia="Arial" w:cs="Arial"/>
          <w:sz w:val="22"/>
          <w:szCs w:val="22"/>
        </w:rPr>
        <w:t xml:space="preserve">blished research findings in many fields do not replicate. Citation dynamics, publication bias toward positive results, underpowered studies, and the slowness of formal consensus revision are real pathologies of the current scientific publishing ecosystem.</w:t>
      </w:r>
      <w:r/>
    </w:p>
    <w:p>
      <w:pPr>
        <w:pBdr/>
        <w:spacing w:after="180" w:before="0"/>
        <w:ind/>
        <w:jc w:val="both"/>
        <w:rPr/>
      </w:pPr>
      <w:r>
        <w:rPr>
          <w:rFonts w:ascii="Arial" w:hAnsi="Arial" w:eastAsia="Arial" w:cs="Arial"/>
          <w:sz w:val="22"/>
          <w:szCs w:val="22"/>
        </w:rPr>
        <w:t xml:space="preserve">HEAL mitigates this through two mechanisms: narrowing Tier 1 scope to data genuinely beyond the reach of peer review pathologies — reproducible measurements and verifiable constants rathe</w:t>
      </w:r>
      <w:r>
        <w:rPr>
          <w:rFonts w:ascii="Arial" w:hAnsi="Arial" w:eastAsia="Arial" w:cs="Arial"/>
          <w:sz w:val="22"/>
          <w:szCs w:val="22"/>
        </w:rPr>
        <w:t xml:space="preserve">r than study-dependent findings — and treating Tier 2 explicitly as the best available scientific explanation rather than as fact equivalent to Tier 1. HEAL contains the peer review problem rather than solving it, and is transparent about this containment.</w:t>
      </w:r>
      <w:r/>
    </w:p>
    <w:p>
      <w:pPr>
        <w:pStyle w:val="916"/>
        <w:pBdr/>
        <w:spacing/>
        <w:ind/>
        <w:rPr/>
      </w:pPr>
      <w:r>
        <w:rPr>
          <w:rFonts w:ascii="Arial" w:hAnsi="Arial" w:eastAsia="Arial" w:cs="Arial"/>
          <w:b/>
          <w:bCs/>
          <w:color w:val="2e5090"/>
          <w:sz w:val="26"/>
          <w:szCs w:val="26"/>
        </w:rPr>
        <w:t xml:space="preserve">Tier 4 Configuration Carries Misuse Risk</w:t>
      </w:r>
      <w:r/>
    </w:p>
    <w:p>
      <w:pPr>
        <w:pBdr/>
        <w:spacing w:after="180" w:before="0"/>
        <w:ind/>
        <w:jc w:val="both"/>
        <w:rPr/>
      </w:pPr>
      <w:r>
        <w:rPr>
          <w:rFonts w:ascii="Arial" w:hAnsi="Arial" w:eastAsia="Arial" w:cs="Arial"/>
          <w:sz w:val="22"/>
          <w:szCs w:val="22"/>
        </w:rPr>
        <w:t xml:space="preserve">An explicit, configurable Tier 4 with a documented catalog of framing options could, in principle, be deliberately configured to produce misleading or manipulative outputs. This risk is real and should not be dismissed.</w:t>
      </w:r>
      <w:r/>
    </w:p>
    <w:p>
      <w:pPr>
        <w:pBdr/>
        <w:spacing w:after="180" w:before="0"/>
        <w:ind/>
        <w:jc w:val="both"/>
        <w:rPr/>
      </w:pPr>
      <w:r>
        <w:rPr>
          <w:rFonts w:ascii="Arial" w:hAnsi="Arial" w:eastAsia="Arial" w:cs="Arial"/>
          <w:sz w:val="22"/>
          <w:szCs w:val="22"/>
        </w:rPr>
        <w:t xml:space="preserve">The primary safeguard is architectural: Tier 4 configuration cannot alter what the system represents as Tier 1 or Tier 2 content. A Tier 4 conf</w:t>
      </w:r>
      <w:r>
        <w:rPr>
          <w:rFonts w:ascii="Arial" w:hAnsi="Arial" w:eastAsia="Arial" w:cs="Arial"/>
          <w:sz w:val="22"/>
          <w:szCs w:val="22"/>
        </w:rPr>
        <w:t xml:space="preserve">iguration can change how empirical findings are framed — it cannot change what those findings are. This limits the damage a bad Tier 4 configuration can do to the domain of framing and emphasis rather than factual content. Secondary safeguards include mand</w:t>
      </w:r>
      <w:r>
        <w:rPr>
          <w:rFonts w:ascii="Arial" w:hAnsi="Arial" w:eastAsia="Arial" w:cs="Arial"/>
          <w:sz w:val="22"/>
          <w:szCs w:val="22"/>
        </w:rPr>
        <w:t xml:space="preserve">atory audit logging, operator accountability frameworks, and terms of service restrictions on configurations intended to deceive. Governance standards for Tier 4 in high-stakes contexts will require ongoing development as deployment experience accumulates.</w:t>
      </w:r>
      <w:r/>
    </w:p>
    <w:p>
      <w:pPr>
        <w:pStyle w:val="916"/>
        <w:pBdr/>
        <w:spacing/>
        <w:ind/>
        <w:rPr/>
      </w:pPr>
      <w:r>
        <w:rPr>
          <w:rFonts w:ascii="Arial" w:hAnsi="Arial" w:eastAsia="Arial" w:cs="Arial"/>
          <w:b/>
          <w:bCs/>
          <w:color w:val="2e5090"/>
          <w:sz w:val="26"/>
          <w:szCs w:val="26"/>
        </w:rPr>
        <w:t xml:space="preserve">Training From Scratch Is Expensive</w:t>
      </w:r>
      <w:r/>
    </w:p>
    <w:p>
      <w:pPr>
        <w:pBdr/>
        <w:spacing w:after="180" w:before="0"/>
        <w:ind/>
        <w:jc w:val="both"/>
        <w:rPr/>
      </w:pPr>
      <w:r>
        <w:rPr>
          <w:rFonts w:ascii="Arial" w:hAnsi="Arial" w:eastAsia="Arial" w:cs="Arial"/>
          <w:sz w:val="22"/>
          <w:szCs w:val="22"/>
        </w:rPr>
        <w:t xml:space="preserve">The full HEAL architecture requires a substantial foundation model training run</w:t>
      </w:r>
      <w:r>
        <w:rPr>
          <w:rFonts w:ascii="Arial" w:hAnsi="Arial" w:eastAsia="Arial" w:cs="Arial"/>
          <w:sz w:val="22"/>
          <w:szCs w:val="22"/>
        </w:rPr>
        <w:t xml:space="preserve"> with tier-aware architecture modifications — not a fine-tuning exercise. This is a significant capital requirement not accessible to organizations without meaningful compute resources and patient capital. The transition product described in Section 4 addr</w:t>
      </w:r>
      <w:r>
        <w:rPr>
          <w:rFonts w:ascii="Arial" w:hAnsi="Arial" w:eastAsia="Arial" w:cs="Arial"/>
          <w:sz w:val="22"/>
          <w:szCs w:val="22"/>
        </w:rPr>
        <w:t xml:space="preserve">esses this in the near term. The long-term case is that the cost of training from scratch is justified by the cost of perpetually patching the wrong foundation — an argument that requires a longer time horizon than most current AI investment theses assume.</w:t>
      </w:r>
      <w:r/>
    </w:p>
    <w:p>
      <w:pPr>
        <w:pStyle w:val="916"/>
        <w:pBdr/>
        <w:spacing/>
        <w:ind/>
        <w:rPr/>
      </w:pPr>
      <w:r>
        <w:rPr>
          <w:rFonts w:ascii="Arial" w:hAnsi="Arial" w:eastAsia="Arial" w:cs="Arial"/>
          <w:b/>
          <w:bCs/>
          <w:color w:val="2e5090"/>
          <w:sz w:val="26"/>
          <w:szCs w:val="26"/>
        </w:rPr>
        <w:t xml:space="preserve">HEAL Does Not Claim to Eliminate Bias</w:t>
      </w:r>
      <w:r/>
    </w:p>
    <w:p>
      <w:pPr>
        <w:pBdr/>
        <w:spacing w:after="180" w:before="0"/>
        <w:ind/>
        <w:jc w:val="both"/>
        <w:rPr/>
      </w:pPr>
      <w:r>
        <w:rPr>
          <w:rFonts w:ascii="Arial" w:hAnsi="Arial" w:eastAsia="Arial" w:cs="Arial"/>
          <w:sz w:val="22"/>
          <w:szCs w:val="22"/>
        </w:rPr>
        <w:t xml:space="preserve">The final and most important caveat: HEAL’s claim is structural and limited. It claims to make bias visible, auditable, and correctable — not to eliminate it. A HEAL system with a poorly designed Tier 1-2 governance process can sti</w:t>
      </w:r>
      <w:r>
        <w:rPr>
          <w:rFonts w:ascii="Arial" w:hAnsi="Arial" w:eastAsia="Arial" w:cs="Arial"/>
          <w:sz w:val="22"/>
          <w:szCs w:val="22"/>
        </w:rPr>
        <w:t xml:space="preserve">ll embed biased selection criteria in its foundation. What HEAL guarantees is that when these problems exist, they exist in a place where they can be identified, attributed, and corrected — rather than in a substrate where they are invisible and permanent.</w:t>
      </w:r>
      <w:r/>
    </w:p>
    <w:p>
      <w:pPr>
        <w:pBdr/>
        <w:spacing w:after="180" w:before="0"/>
        <w:ind/>
        <w:jc w:val="both"/>
        <w:rPr/>
      </w:pPr>
      <w:r>
        <w:rPr>
          <w:rFonts w:ascii="Arial" w:hAnsi="Arial" w:eastAsia="Arial" w:cs="Arial"/>
          <w:sz w:val="22"/>
          <w:szCs w:val="22"/>
        </w:rPr>
        <w:t xml:space="preserve">The current state of the art offers biased outputs with no aud</w:t>
      </w:r>
      <w:r>
        <w:rPr>
          <w:rFonts w:ascii="Arial" w:hAnsi="Arial" w:eastAsia="Arial" w:cs="Arial"/>
          <w:sz w:val="22"/>
          <w:szCs w:val="22"/>
        </w:rPr>
        <w:t xml:space="preserve">it trail. HEAL offers outputs with a provenance trail that makes bias visible when it is present. That is a significant improvement. It is not perfection, and claiming otherwise would undermine the credibility this framework requires to be taken seriously.</w:t>
      </w:r>
      <w:r/>
    </w:p>
    <w:p>
      <w:pPr>
        <w:pBdr/>
        <w:spacing/>
        <w:ind/>
        <w:rPr/>
      </w:pPr>
      <w:r>
        <w:br w:type="page" w:clear="all"/>
      </w:r>
      <w:r/>
    </w:p>
    <w:p>
      <w:pPr>
        <w:pStyle w:val="915"/>
        <w:pBdr/>
        <w:spacing/>
        <w:ind/>
        <w:rPr/>
      </w:pPr>
      <w:r>
        <w:rPr>
          <w:rFonts w:ascii="Arial" w:hAnsi="Arial" w:eastAsia="Arial" w:cs="Arial"/>
          <w:b/>
          <w:bCs/>
          <w:color w:val="1f3864"/>
          <w:sz w:val="34"/>
          <w:szCs w:val="34"/>
        </w:rPr>
        <w:t xml:space="preserve">Conclusion</w:t>
      </w:r>
      <w:r/>
    </w:p>
    <w:p>
      <w:pPr>
        <w:pBdr>
          <w:bottom w:val="single" w:color="2e5090" w:sz="6" w:space="1"/>
        </w:pBdr>
        <w:spacing w:after="280" w:before="0"/>
        <w:ind/>
        <w:rPr/>
      </w:pPr>
      <w:r/>
      <w:r/>
    </w:p>
    <w:p>
      <w:pPr>
        <w:pBdr/>
        <w:spacing w:after="180" w:before="0"/>
        <w:ind/>
        <w:jc w:val="both"/>
        <w:rPr/>
      </w:pPr>
      <w:r>
        <w:rPr>
          <w:rFonts w:ascii="Arial" w:hAnsi="Arial" w:eastAsia="Arial" w:cs="Arial"/>
          <w:sz w:val="22"/>
          <w:szCs w:val="22"/>
        </w:rPr>
        <w:t xml:space="preserve">The first generation of large la</w:t>
      </w:r>
      <w:r>
        <w:rPr>
          <w:rFonts w:ascii="Arial" w:hAnsi="Arial" w:eastAsia="Arial" w:cs="Arial"/>
          <w:sz w:val="22"/>
          <w:szCs w:val="22"/>
        </w:rPr>
        <w:t xml:space="preserve">nguage models proved that the concept works. The investment made to prove it was necessary and its returns were real — in demonstrated capability, in revealed limitations, and in the clarity it provides about what the second generation must do differently.</w:t>
      </w:r>
      <w:r/>
    </w:p>
    <w:p>
      <w:pPr>
        <w:pBdr/>
        <w:spacing w:after="180" w:before="0"/>
        <w:ind/>
        <w:jc w:val="both"/>
        <w:rPr/>
      </w:pPr>
      <w:r>
        <w:rPr>
          <w:rFonts w:ascii="Arial" w:hAnsi="Arial" w:eastAsia="Arial" w:cs="Arial"/>
          <w:sz w:val="22"/>
          <w:szCs w:val="22"/>
        </w:rPr>
        <w:t xml:space="preserve">What first-generation LLMs did not prove is that the current architectural foundation is adequate for the applications the market now demands and the regulatory environment now requires. The hallucination </w:t>
      </w:r>
      <w:r>
        <w:rPr>
          <w:rFonts w:ascii="Arial" w:hAnsi="Arial" w:eastAsia="Arial" w:cs="Arial"/>
          <w:sz w:val="22"/>
          <w:szCs w:val="22"/>
        </w:rPr>
        <w:t xml:space="preserve">problem is not a bug to be patched. The confidence miscalibration problem is not a feature to be tuned. The invisible Layer 4 problem is not a policy question to be managed through guidelines. These are substrate problems. They require substrate solutions.</w:t>
      </w:r>
      <w:r/>
    </w:p>
    <w:p>
      <w:pPr>
        <w:pBdr/>
        <w:spacing w:after="180" w:before="0"/>
        <w:ind/>
        <w:jc w:val="both"/>
        <w:rPr/>
      </w:pPr>
      <w:r>
        <w:rPr>
          <w:rFonts w:ascii="Arial" w:hAnsi="Arial" w:eastAsia="Arial" w:cs="Arial"/>
          <w:sz w:val="22"/>
          <w:szCs w:val="22"/>
        </w:rPr>
        <w:t xml:space="preserve">HEAL is that solution — not a complete solution, not a perfect solution, but a structurally sound alternative to the paradigm that produced these defects. It is built on the recognition that epistemic category is a first-class architec</w:t>
      </w:r>
      <w:r>
        <w:rPr>
          <w:rFonts w:ascii="Arial" w:hAnsi="Arial" w:eastAsia="Arial" w:cs="Arial"/>
          <w:sz w:val="22"/>
          <w:szCs w:val="22"/>
        </w:rPr>
        <w:t xml:space="preserve">tural concern, that the quality of what an AI system knows matters as much as the scale at which it processes, and that the enterprise market will eventually refuse to absorb the cost of reliability failures that the current architecture makes unavoidable.</w:t>
      </w:r>
      <w:r/>
    </w:p>
    <w:p>
      <w:pPr>
        <w:pBdr/>
        <w:spacing w:after="180" w:before="0"/>
        <w:ind/>
        <w:jc w:val="both"/>
        <w:rPr/>
      </w:pPr>
      <w:r>
        <w:rPr>
          <w:rFonts w:ascii="Arial" w:hAnsi="Arial" w:eastAsia="Arial" w:cs="Arial"/>
          <w:sz w:val="22"/>
          <w:szCs w:val="22"/>
        </w:rPr>
        <w:t xml:space="preserve">The correction that is coming is not a verdict on artificial intelligence as a transformative technology. It is a verdict on whether doing bad reaso</w:t>
      </w:r>
      <w:r>
        <w:rPr>
          <w:rFonts w:ascii="Arial" w:hAnsi="Arial" w:eastAsia="Arial" w:cs="Arial"/>
          <w:sz w:val="22"/>
          <w:szCs w:val="22"/>
        </w:rPr>
        <w:t xml:space="preserve">ning really fast, at scale, is a product. It is not. The market will reach this conclusion. The organizations that have already reached it — and built accordingly — will not just survive the correction. They will define the architecture of what comes next.</w:t>
      </w:r>
      <w:r/>
    </w:p>
    <w:p>
      <w:pPr>
        <w:pBdr/>
        <w:spacing w:after="180" w:before="0"/>
        <w:ind/>
        <w:jc w:val="both"/>
        <w:rPr/>
      </w:pPr>
      <w:r>
        <w:rPr>
          <w:rFonts w:ascii="Arial" w:hAnsi="Arial" w:eastAsia="Arial" w:cs="Arial"/>
          <w:sz w:val="22"/>
          <w:szCs w:val="22"/>
        </w:rPr>
        <w:t xml:space="preserve">The question for decision makers is not whether this needs to be built. It does. The question is whether your organization intends to build it, and whether the window the correction creates is one you intend to use.</w:t>
      </w:r>
      <w:r/>
    </w:p>
    <w:p>
      <w:pPr>
        <w:pBdr>
          <w:bottom w:val="single" w:color="2e5090" w:sz="6" w:space="1"/>
        </w:pBdr>
        <w:spacing w:after="240" w:before="0"/>
        <w:ind/>
        <w:rPr/>
      </w:pPr>
      <w:r/>
      <w:r/>
    </w:p>
    <w:p>
      <w:pPr>
        <w:pBdr/>
        <w:spacing w:after="240" w:before="0"/>
        <w:ind/>
        <w:rPr/>
      </w:pPr>
      <w:r/>
      <w:r/>
    </w:p>
    <w:p>
      <w:pPr>
        <w:pBdr/>
        <w:spacing/>
        <w:ind/>
        <w:rPr/>
      </w:pPr>
      <w:r>
        <w:br w:type="page" w:clear="all"/>
      </w:r>
      <w:r/>
    </w:p>
    <w:p>
      <w:pPr>
        <w:pStyle w:val="915"/>
        <w:pBdr/>
        <w:spacing/>
        <w:ind/>
        <w:rPr/>
      </w:pPr>
      <w:r>
        <w:rPr>
          <w:rFonts w:ascii="Arial" w:hAnsi="Arial" w:eastAsia="Arial" w:cs="Arial"/>
          <w:b/>
          <w:bCs/>
          <w:color w:val="1f3864"/>
          <w:sz w:val="34"/>
          <w:szCs w:val="34"/>
        </w:rPr>
        <w:t xml:space="preserve">References</w:t>
      </w:r>
      <w:r/>
    </w:p>
    <w:p>
      <w:pPr>
        <w:pBdr>
          <w:bottom w:val="single" w:color="2e5090" w:sz="6" w:space="1"/>
        </w:pBdr>
        <w:spacing w:after="280" w:before="0"/>
        <w:ind/>
        <w:rPr/>
      </w:pPr>
      <w:r/>
      <w:r/>
    </w:p>
    <w:p>
      <w:pPr>
        <w:pBdr/>
        <w:spacing w:after="100" w:before="0"/>
        <w:ind w:hanging="480" w:left="480"/>
        <w:rPr/>
      </w:pPr>
      <w:r>
        <w:rPr>
          <w:rFonts w:ascii="Arial" w:hAnsi="Arial" w:eastAsia="Arial" w:cs="Arial"/>
          <w:color w:val="555555"/>
          <w:sz w:val="18"/>
          <w:szCs w:val="18"/>
        </w:rPr>
        <w:t xml:space="preserve">Bender, E. M., Gebru, </w:t>
      </w:r>
      <w:r>
        <w:rPr>
          <w:rFonts w:ascii="Arial" w:hAnsi="Arial" w:eastAsia="Arial" w:cs="Arial"/>
          <w:color w:val="555555"/>
          <w:sz w:val="18"/>
          <w:szCs w:val="18"/>
        </w:rPr>
        <w:t xml:space="preserve">T., McMillan-Major, A., &amp; Shmitchell, S. (2021). On the Dangers of Stochastic Parrots: Can Language Models Be Too Big? In Proceedings of the 2021 ACM Conference on Fairness, Accountability, and Transparency (FAccT ’21). Association for Computing Machinery.</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Bommasani, R., Hudson, D. A., Aditi, E., et al. (2021). On the Opportunities and Risks of Foundation Models. arXiv preprint arXiv:2108.07258. Stanford Center for Research on Foundation Models.</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Hendrycks, D., Burns, C., Basart, S., et al. (2021). Aligning AI With Shared Human Values. arXiv preprint arXiv:2008.02275.</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Ioannidis, J. P. A. (2005). Why Most Published Research Findings Are False. PLOS Medicine, 2(8), e124. https://doi.org/10.1371/journal.pmed.0020124</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Kadavath, S., Conerly, T., Askell, A., et al. (2022). Language Models (Mostly) Know What They Know. arXiv preprint arXiv:2207.05221. Anthropic.</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Kuhn, T. S. (1962). The Structure of Scientific Revolutions. University of Chicago Press.</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Lewis, P., Perez, E., Piktus, A., et al. (2020). Retrieval-Augmented Generation for Knowledge-Intensive NLP Tasks. Advances in Neural Information Processing Systems, 33, 9459–9474.</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Luo, R., Sun, L., Xia, Y., et al. (2022). BioGPT: Generative Pre-trained Transformer for Biomedical Text Generation and Mining. Briefings in Bioinformatics, 23(6). https://doi.org/10.1093/bib/bbac409</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Ouyang, L., Wu, J., Jiang, X., et al. (2022). Training Language Models to Follow Instructions with Human Feedback. Advances in Neural Information Processing Systems, 35.</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Parker, G. G., Van Alstyne, M. W., &amp; Choudary, S. P. (2016). Platform Revolution: How Networked Markets Are Transforming the Economy and How to Make Them Work for You. W. W. Norton &amp; Company.</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Popper, K. (1959). The Logic of Scientific Discovery. Hutchinson &amp; Co.</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Singhal, K., Azizi, S., Tu, T., et al. (2023). Large Language Models Encode Clinical Knowledge. Nature, 620, 172–180. https://doi.org/10.1038/s41586-023-06291-2</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Weidinger, L., Mellor, J., Rauh, M., et al. (2021). Ethical and Social Risks of Harm from Language Models. arXiv preprint arXiv:2112.04359. DeepMind.</w:t>
      </w:r>
      <w:r/>
    </w:p>
    <w:p>
      <w:pPr>
        <w:pBdr/>
        <w:spacing w:after="80" w:before="0"/>
        <w:ind/>
        <w:rPr/>
      </w:pPr>
      <w:r/>
      <w:r/>
    </w:p>
    <w:p>
      <w:pPr>
        <w:pBdr/>
        <w:spacing w:after="100" w:before="0"/>
        <w:ind w:hanging="480" w:left="480"/>
        <w:rPr/>
      </w:pPr>
      <w:r>
        <w:rPr>
          <w:rFonts w:ascii="Arial" w:hAnsi="Arial" w:eastAsia="Arial" w:cs="Arial"/>
          <w:color w:val="555555"/>
          <w:sz w:val="18"/>
          <w:szCs w:val="18"/>
        </w:rPr>
        <w:t xml:space="preserve">Weizenbaum, J. (1976). Computer Power and Human Reason: From Judgment to Calculation. W. H. Freeman and Company.</w:t>
      </w:r>
      <w:r/>
    </w:p>
    <w:sectPr>
      <w:headerReference w:type="default" r:id="rId9"/>
      <w:footerReference w:type="default" r:id="rId10"/>
      <w:footnotePr/>
      <w:endnotePr/>
      <w:type w:val="nextPage"/>
      <w:pgSz w:h="15840" w:orient="portrait" w:w="12240"/>
      <w:pgMar w:top="1080" w:right="1440" w:bottom="1080" w:left="1440" w:header="708" w:footer="708"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single" w:color="cccccc" w:sz="4" w:space="1"/>
      </w:pBdr>
      <w:tabs>
        <w:tab w:val="right" w:leader="none" w:pos="9360"/>
      </w:tabs>
      <w:spacing w:before="100"/>
      <w:ind/>
      <w:rPr/>
    </w:pPr>
    <w:r>
      <w:rPr>
        <w:rFonts w:ascii="Arial" w:hAnsi="Arial" w:eastAsia="Arial" w:cs="Arial"/>
        <w:color w:val="888888"/>
        <w:sz w:val="16"/>
        <w:szCs w:val="16"/>
      </w:rPr>
      <w:t xml:space="preserve">All Rights Reserved — 2026</w:t>
    </w:r>
    <w:r>
      <w:rPr>
        <w:rFonts w:ascii="Arial" w:hAnsi="Arial" w:eastAsia="Arial" w:cs="Arial"/>
        <w:sz w:val="16"/>
        <w:szCs w:val="16"/>
      </w:rPr>
      <w:tab/>
    </w:r>
    <w:r>
      <w:rPr>
        <w:rFonts w:ascii="Arial" w:hAnsi="Arial" w:eastAsia="Arial" w:cs="Arial"/>
        <w:color w:val="888888"/>
        <w:sz w:val="16"/>
        <w:szCs w:val="16"/>
      </w:rPr>
      <w:t xml:space="preserve">Confidential Working Draft</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cccccc" w:sz="4" w:space="1"/>
      </w:pBdr>
      <w:tabs>
        <w:tab w:val="right" w:leader="none" w:pos="9360"/>
      </w:tabs>
      <w:spacing w:after="100"/>
      <w:ind/>
      <w:rPr/>
    </w:pPr>
    <w:r>
      <w:rPr>
        <w:rFonts w:ascii="Arial" w:hAnsi="Arial" w:eastAsia="Arial" w:cs="Arial"/>
        <w:color w:val="888888"/>
        <w:sz w:val="16"/>
        <w:szCs w:val="16"/>
      </w:rPr>
      <w:t xml:space="preserve">HEAL — Hierarchical Epistemological AI Layering</w:t>
    </w:r>
    <w:r>
      <w:rPr>
        <w:rFonts w:ascii="Arial" w:hAnsi="Arial" w:eastAsia="Arial" w:cs="Arial"/>
        <w:sz w:val="16"/>
        <w:szCs w:val="16"/>
      </w:rPr>
      <w:tab/>
    </w:r>
    <w:r>
      <w:rPr>
        <w:rFonts w:ascii="Arial" w:hAnsi="Arial" w:eastAsia="Arial" w:cs="Arial"/>
        <w:color w:val="888888"/>
        <w:sz w:val="16"/>
        <w:szCs w:val="16"/>
      </w:rPr>
      <w:t xml:space="preserve">Working Draft — 2026</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tart w:val="1"/>
      <w:suff w:val="tab"/>
    </w:lvl>
    <w:lvl w:ilvl="1">
      <w:isLgl w:val="false"/>
      <w:lvlJc w:val="left"/>
      <w:lvlText w:val="○"/>
      <w:numFmt w:val="bullet"/>
      <w:pPr>
        <w:pBdr/>
        <w:spacing/>
        <w:ind w:hanging="360" w:left="1440"/>
      </w:pPr>
      <w:rPr/>
      <w:start w:val="1"/>
      <w:suff w:val="tab"/>
    </w:lvl>
    <w:lvl w:ilvl="2">
      <w:isLgl w:val="false"/>
      <w:lvlJc w:val="left"/>
      <w:lvlText w:val="■"/>
      <w:numFmt w:val="bullet"/>
      <w:pPr>
        <w:pBdr/>
        <w:spacing/>
        <w:ind w:hanging="360" w:left="2160"/>
      </w:pPr>
      <w:rPr/>
      <w:start w:val="1"/>
      <w:suff w:val="tab"/>
    </w:lvl>
    <w:lvl w:ilvl="3">
      <w:isLgl w:val="false"/>
      <w:lvlJc w:val="left"/>
      <w:lvlText w:val="●"/>
      <w:numFmt w:val="bullet"/>
      <w:pPr>
        <w:pBdr/>
        <w:spacing/>
        <w:ind w:hanging="360" w:left="2880"/>
      </w:pPr>
      <w:rPr/>
      <w:start w:val="1"/>
      <w:suff w:val="tab"/>
    </w:lvl>
    <w:lvl w:ilvl="4">
      <w:isLgl w:val="false"/>
      <w:lvlJc w:val="left"/>
      <w:lvlText w:val="○"/>
      <w:numFmt w:val="bullet"/>
      <w:pPr>
        <w:pBdr/>
        <w:spacing/>
        <w:ind w:hanging="360" w:left="3600"/>
      </w:pPr>
      <w:rPr/>
      <w:start w:val="1"/>
      <w:suff w:val="tab"/>
    </w:lvl>
    <w:lvl w:ilvl="5">
      <w:isLgl w:val="false"/>
      <w:lvlJc w:val="left"/>
      <w:lvlText w:val="■"/>
      <w:numFmt w:val="bullet"/>
      <w:pPr>
        <w:pBdr/>
        <w:spacing/>
        <w:ind w:hanging="360" w:left="4320"/>
      </w:pPr>
      <w:rPr/>
      <w:start w:val="1"/>
      <w:suff w:val="tab"/>
    </w:lvl>
    <w:lvl w:ilvl="6">
      <w:isLgl w:val="false"/>
      <w:lvlJc w:val="left"/>
      <w:lvlText w:val="●"/>
      <w:numFmt w:val="bullet"/>
      <w:pPr>
        <w:pBdr/>
        <w:spacing/>
        <w:ind w:hanging="360" w:left="5040"/>
      </w:pPr>
      <w:rPr/>
      <w:start w:val="1"/>
      <w:suff w:val="tab"/>
    </w:lvl>
    <w:lvl w:ilvl="7">
      <w:isLgl w:val="false"/>
      <w:lvlJc w:val="left"/>
      <w:lvlText w:val="●"/>
      <w:numFmt w:val="bullet"/>
      <w:pPr>
        <w:pBdr/>
        <w:spacing/>
        <w:ind w:hanging="360" w:left="5760"/>
      </w:pPr>
      <w:rPr/>
      <w:start w:val="1"/>
      <w:suff w:val="tab"/>
    </w:lvl>
    <w:lvl w:ilvl="8">
      <w:isLgl w:val="false"/>
      <w:lvlJc w:val="left"/>
      <w:lvlText w:val="●"/>
      <w:numFmt w:val="bullet"/>
      <w:pPr>
        <w:pBdr/>
        <w:spacing/>
        <w:ind w:hanging="360" w:left="6480"/>
      </w:pPr>
      <w:rPr/>
      <w:start w:val="1"/>
      <w:suff w:val="tab"/>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Table Grid"/>
    <w:basedOn w:val="7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7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7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7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7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7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7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7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7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7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7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7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7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7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7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7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7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7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7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7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7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7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7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7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7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7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7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7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7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7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7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7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7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7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7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7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7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7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7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7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7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7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7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7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7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7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7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7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7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7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7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7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7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7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7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7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7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7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7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7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7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7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7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7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8">
    <w:name w:val="List Table 7 Colorful - Accent 2"/>
    <w:basedOn w:val="7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29">
    <w:name w:val="List Table 7 Colorful - Accent 3"/>
    <w:basedOn w:val="7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30">
    <w:name w:val="List Table 7 Colorful - Accent 4"/>
    <w:basedOn w:val="7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31">
    <w:name w:val="List Table 7 Colorful - Accent 5"/>
    <w:basedOn w:val="7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32">
    <w:name w:val="List Table 7 Colorful - Accent 6"/>
    <w:basedOn w:val="7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33">
    <w:name w:val="Lined - Accent"/>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7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7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7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7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7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7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7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7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7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7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7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7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7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7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7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4" w:default="1">
    <w:name w:val="Normal"/>
    <w:qFormat/>
    <w:pPr>
      <w:pBdr/>
      <w:spacing/>
      <w:ind/>
    </w:pPr>
  </w:style>
  <w:style w:type="paragraph" w:styleId="855">
    <w:name w:val="Heading 7"/>
    <w:basedOn w:val="854"/>
    <w:next w:val="854"/>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854"/>
    <w:next w:val="854"/>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854"/>
    <w:next w:val="854"/>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default="1">
    <w:name w:val="Default Paragraph Font"/>
    <w:uiPriority w:val="1"/>
    <w:semiHidden/>
    <w:unhideWhenUsed/>
    <w:pPr>
      <w:pBdr/>
      <w:spacing/>
      <w:ind/>
    </w:pPr>
  </w:style>
  <w:style w:type="numbering" w:styleId="859" w:default="1">
    <w:name w:val="No List"/>
    <w:uiPriority w:val="99"/>
    <w:semiHidden/>
    <w:unhideWhenUsed/>
    <w:pPr>
      <w:pBdr/>
      <w:spacing/>
      <w:ind/>
    </w:pPr>
  </w:style>
  <w:style w:type="character" w:styleId="860">
    <w:name w:val="Heading 1 Char"/>
    <w:basedOn w:val="858"/>
    <w:link w:val="915"/>
    <w:uiPriority w:val="9"/>
    <w:pPr>
      <w:pBdr/>
      <w:spacing/>
      <w:ind/>
    </w:pPr>
    <w:rPr>
      <w:rFonts w:ascii="Arial" w:hAnsi="Arial" w:eastAsia="Arial" w:cs="Arial"/>
      <w:color w:val="0f4761" w:themeColor="accent1" w:themeShade="BF"/>
      <w:sz w:val="40"/>
      <w:szCs w:val="40"/>
    </w:rPr>
  </w:style>
  <w:style w:type="character" w:styleId="861">
    <w:name w:val="Heading 2 Char"/>
    <w:basedOn w:val="858"/>
    <w:link w:val="916"/>
    <w:uiPriority w:val="9"/>
    <w:pPr>
      <w:pBdr/>
      <w:spacing/>
      <w:ind/>
    </w:pPr>
    <w:rPr>
      <w:rFonts w:ascii="Arial" w:hAnsi="Arial" w:eastAsia="Arial" w:cs="Arial"/>
      <w:color w:val="0f4761" w:themeColor="accent1" w:themeShade="BF"/>
      <w:sz w:val="32"/>
      <w:szCs w:val="32"/>
    </w:rPr>
  </w:style>
  <w:style w:type="character" w:styleId="862">
    <w:name w:val="Heading 3 Char"/>
    <w:basedOn w:val="858"/>
    <w:link w:val="902"/>
    <w:uiPriority w:val="9"/>
    <w:pPr>
      <w:pBdr/>
      <w:spacing/>
      <w:ind/>
    </w:pPr>
    <w:rPr>
      <w:rFonts w:ascii="Arial" w:hAnsi="Arial" w:eastAsia="Arial" w:cs="Arial"/>
      <w:color w:val="0f4761" w:themeColor="accent1" w:themeShade="BF"/>
      <w:sz w:val="28"/>
      <w:szCs w:val="28"/>
    </w:rPr>
  </w:style>
  <w:style w:type="character" w:styleId="863">
    <w:name w:val="Heading 4 Char"/>
    <w:basedOn w:val="858"/>
    <w:link w:val="903"/>
    <w:uiPriority w:val="9"/>
    <w:pPr>
      <w:pBdr/>
      <w:spacing/>
      <w:ind/>
    </w:pPr>
    <w:rPr>
      <w:rFonts w:ascii="Arial" w:hAnsi="Arial" w:eastAsia="Arial" w:cs="Arial"/>
      <w:i/>
      <w:iCs/>
      <w:color w:val="0f4761" w:themeColor="accent1" w:themeShade="BF"/>
    </w:rPr>
  </w:style>
  <w:style w:type="character" w:styleId="864">
    <w:name w:val="Heading 5 Char"/>
    <w:basedOn w:val="858"/>
    <w:link w:val="904"/>
    <w:uiPriority w:val="9"/>
    <w:pPr>
      <w:pBdr/>
      <w:spacing/>
      <w:ind/>
    </w:pPr>
    <w:rPr>
      <w:rFonts w:ascii="Arial" w:hAnsi="Arial" w:eastAsia="Arial" w:cs="Arial"/>
      <w:color w:val="0f4761" w:themeColor="accent1" w:themeShade="BF"/>
    </w:rPr>
  </w:style>
  <w:style w:type="character" w:styleId="865">
    <w:name w:val="Heading 6 Char"/>
    <w:basedOn w:val="858"/>
    <w:link w:val="905"/>
    <w:uiPriority w:val="9"/>
    <w:pPr>
      <w:pBdr/>
      <w:spacing/>
      <w:ind/>
    </w:pPr>
    <w:rPr>
      <w:rFonts w:ascii="Arial" w:hAnsi="Arial" w:eastAsia="Arial" w:cs="Arial"/>
      <w:i/>
      <w:iCs/>
      <w:color w:val="595959" w:themeColor="text1" w:themeTint="A6"/>
    </w:rPr>
  </w:style>
  <w:style w:type="character" w:styleId="866">
    <w:name w:val="Heading 7 Char"/>
    <w:basedOn w:val="858"/>
    <w:link w:val="855"/>
    <w:uiPriority w:val="9"/>
    <w:pPr>
      <w:pBdr/>
      <w:spacing/>
      <w:ind/>
    </w:pPr>
    <w:rPr>
      <w:rFonts w:ascii="Arial" w:hAnsi="Arial" w:eastAsia="Arial" w:cs="Arial"/>
      <w:color w:val="595959" w:themeColor="text1" w:themeTint="A6"/>
    </w:rPr>
  </w:style>
  <w:style w:type="character" w:styleId="867">
    <w:name w:val="Heading 8 Char"/>
    <w:basedOn w:val="858"/>
    <w:link w:val="856"/>
    <w:uiPriority w:val="9"/>
    <w:pPr>
      <w:pBdr/>
      <w:spacing/>
      <w:ind/>
    </w:pPr>
    <w:rPr>
      <w:rFonts w:ascii="Arial" w:hAnsi="Arial" w:eastAsia="Arial" w:cs="Arial"/>
      <w:i/>
      <w:iCs/>
      <w:color w:val="272727" w:themeColor="text1" w:themeTint="D8"/>
    </w:rPr>
  </w:style>
  <w:style w:type="character" w:styleId="868">
    <w:name w:val="Heading 9 Char"/>
    <w:basedOn w:val="858"/>
    <w:link w:val="857"/>
    <w:uiPriority w:val="9"/>
    <w:pPr>
      <w:pBdr/>
      <w:spacing/>
      <w:ind/>
    </w:pPr>
    <w:rPr>
      <w:rFonts w:ascii="Arial" w:hAnsi="Arial" w:eastAsia="Arial" w:cs="Arial"/>
      <w:i/>
      <w:iCs/>
      <w:color w:val="272727" w:themeColor="text1" w:themeTint="D8"/>
    </w:rPr>
  </w:style>
  <w:style w:type="character" w:styleId="869">
    <w:name w:val="Title Char"/>
    <w:basedOn w:val="858"/>
    <w:link w:val="901"/>
    <w:uiPriority w:val="10"/>
    <w:pPr>
      <w:pBdr/>
      <w:spacing/>
      <w:ind/>
    </w:pPr>
    <w:rPr>
      <w:rFonts w:ascii="Arial" w:hAnsi="Arial" w:eastAsia="Arial" w:cs="Arial"/>
      <w:spacing w:val="-10"/>
      <w:sz w:val="56"/>
      <w:szCs w:val="56"/>
    </w:rPr>
  </w:style>
  <w:style w:type="paragraph" w:styleId="870">
    <w:name w:val="Subtitle"/>
    <w:basedOn w:val="854"/>
    <w:next w:val="854"/>
    <w:link w:val="871"/>
    <w:uiPriority w:val="11"/>
    <w:qFormat/>
    <w:pPr>
      <w:numPr>
        <w:ilvl w:val="1"/>
      </w:numPr>
      <w:pBdr/>
      <w:spacing/>
      <w:ind/>
    </w:pPr>
    <w:rPr>
      <w:color w:val="595959" w:themeColor="text1" w:themeTint="A6"/>
      <w:spacing w:val="15"/>
      <w:sz w:val="28"/>
      <w:szCs w:val="28"/>
    </w:rPr>
  </w:style>
  <w:style w:type="character" w:styleId="871">
    <w:name w:val="Subtitle Char"/>
    <w:basedOn w:val="858"/>
    <w:link w:val="870"/>
    <w:uiPriority w:val="11"/>
    <w:pPr>
      <w:pBdr/>
      <w:spacing/>
      <w:ind/>
    </w:pPr>
    <w:rPr>
      <w:color w:val="595959" w:themeColor="text1" w:themeTint="A6"/>
      <w:spacing w:val="15"/>
      <w:sz w:val="28"/>
      <w:szCs w:val="28"/>
    </w:rPr>
  </w:style>
  <w:style w:type="paragraph" w:styleId="872">
    <w:name w:val="Quote"/>
    <w:basedOn w:val="854"/>
    <w:next w:val="854"/>
    <w:link w:val="873"/>
    <w:uiPriority w:val="29"/>
    <w:qFormat/>
    <w:pPr>
      <w:pBdr/>
      <w:spacing w:before="160"/>
      <w:ind/>
      <w:jc w:val="center"/>
    </w:pPr>
    <w:rPr>
      <w:i/>
      <w:iCs/>
      <w:color w:val="404040" w:themeColor="text1" w:themeTint="BF"/>
    </w:rPr>
  </w:style>
  <w:style w:type="character" w:styleId="873">
    <w:name w:val="Quote Char"/>
    <w:basedOn w:val="858"/>
    <w:link w:val="872"/>
    <w:uiPriority w:val="29"/>
    <w:pPr>
      <w:pBdr/>
      <w:spacing/>
      <w:ind/>
    </w:pPr>
    <w:rPr>
      <w:i/>
      <w:iCs/>
      <w:color w:val="404040" w:themeColor="text1" w:themeTint="BF"/>
    </w:rPr>
  </w:style>
  <w:style w:type="character" w:styleId="874">
    <w:name w:val="Intense Emphasis"/>
    <w:basedOn w:val="858"/>
    <w:uiPriority w:val="21"/>
    <w:qFormat/>
    <w:pPr>
      <w:pBdr/>
      <w:spacing/>
      <w:ind/>
    </w:pPr>
    <w:rPr>
      <w:i/>
      <w:iCs/>
      <w:color w:val="0f4761" w:themeColor="accent1" w:themeShade="BF"/>
    </w:rPr>
  </w:style>
  <w:style w:type="paragraph" w:styleId="875">
    <w:name w:val="Intense Quote"/>
    <w:basedOn w:val="854"/>
    <w:next w:val="854"/>
    <w:link w:val="87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6">
    <w:name w:val="Intense Quote Char"/>
    <w:basedOn w:val="858"/>
    <w:link w:val="875"/>
    <w:uiPriority w:val="30"/>
    <w:pPr>
      <w:pBdr/>
      <w:spacing/>
      <w:ind/>
    </w:pPr>
    <w:rPr>
      <w:i/>
      <w:iCs/>
      <w:color w:val="0f4761" w:themeColor="accent1" w:themeShade="BF"/>
    </w:rPr>
  </w:style>
  <w:style w:type="character" w:styleId="877">
    <w:name w:val="Intense Reference"/>
    <w:basedOn w:val="858"/>
    <w:uiPriority w:val="32"/>
    <w:qFormat/>
    <w:pPr>
      <w:pBdr/>
      <w:spacing/>
      <w:ind/>
    </w:pPr>
    <w:rPr>
      <w:b/>
      <w:bCs/>
      <w:smallCaps/>
      <w:color w:val="0f4761" w:themeColor="accent1" w:themeShade="BF"/>
      <w:spacing w:val="5"/>
    </w:rPr>
  </w:style>
  <w:style w:type="paragraph" w:styleId="878">
    <w:name w:val="No Spacing"/>
    <w:basedOn w:val="854"/>
    <w:uiPriority w:val="1"/>
    <w:qFormat/>
    <w:pPr>
      <w:pBdr/>
      <w:spacing w:after="0" w:line="240" w:lineRule="auto"/>
      <w:ind/>
    </w:pPr>
  </w:style>
  <w:style w:type="character" w:styleId="879">
    <w:name w:val="Subtle Emphasis"/>
    <w:basedOn w:val="858"/>
    <w:uiPriority w:val="19"/>
    <w:qFormat/>
    <w:pPr>
      <w:pBdr/>
      <w:spacing/>
      <w:ind/>
    </w:pPr>
    <w:rPr>
      <w:i/>
      <w:iCs/>
      <w:color w:val="404040" w:themeColor="text1" w:themeTint="BF"/>
    </w:rPr>
  </w:style>
  <w:style w:type="character" w:styleId="880">
    <w:name w:val="Emphasis"/>
    <w:basedOn w:val="858"/>
    <w:uiPriority w:val="20"/>
    <w:qFormat/>
    <w:pPr>
      <w:pBdr/>
      <w:spacing/>
      <w:ind/>
    </w:pPr>
    <w:rPr>
      <w:i/>
      <w:iCs/>
    </w:rPr>
  </w:style>
  <w:style w:type="character" w:styleId="881">
    <w:name w:val="Subtle Reference"/>
    <w:basedOn w:val="858"/>
    <w:uiPriority w:val="31"/>
    <w:qFormat/>
    <w:pPr>
      <w:pBdr/>
      <w:spacing/>
      <w:ind/>
    </w:pPr>
    <w:rPr>
      <w:smallCaps/>
      <w:color w:val="5a5a5a" w:themeColor="text1" w:themeTint="A5"/>
    </w:rPr>
  </w:style>
  <w:style w:type="character" w:styleId="882">
    <w:name w:val="Book Title"/>
    <w:basedOn w:val="858"/>
    <w:uiPriority w:val="33"/>
    <w:qFormat/>
    <w:pPr>
      <w:pBdr/>
      <w:spacing/>
      <w:ind/>
    </w:pPr>
    <w:rPr>
      <w:b/>
      <w:bCs/>
      <w:i/>
      <w:iCs/>
      <w:spacing w:val="5"/>
    </w:rPr>
  </w:style>
  <w:style w:type="paragraph" w:styleId="883">
    <w:name w:val="Header"/>
    <w:basedOn w:val="854"/>
    <w:link w:val="884"/>
    <w:uiPriority w:val="99"/>
    <w:unhideWhenUsed/>
    <w:pPr>
      <w:pBdr/>
      <w:tabs>
        <w:tab w:val="center" w:leader="none" w:pos="4844"/>
        <w:tab w:val="right" w:leader="none" w:pos="9689"/>
      </w:tabs>
      <w:spacing w:after="0" w:line="240" w:lineRule="auto"/>
      <w:ind/>
    </w:pPr>
  </w:style>
  <w:style w:type="character" w:styleId="884">
    <w:name w:val="Header Char"/>
    <w:basedOn w:val="858"/>
    <w:link w:val="883"/>
    <w:uiPriority w:val="99"/>
    <w:pPr>
      <w:pBdr/>
      <w:spacing/>
      <w:ind/>
    </w:pPr>
  </w:style>
  <w:style w:type="paragraph" w:styleId="885">
    <w:name w:val="Footer"/>
    <w:basedOn w:val="854"/>
    <w:link w:val="886"/>
    <w:uiPriority w:val="99"/>
    <w:unhideWhenUsed/>
    <w:pPr>
      <w:pBdr/>
      <w:tabs>
        <w:tab w:val="center" w:leader="none" w:pos="4844"/>
        <w:tab w:val="right" w:leader="none" w:pos="9689"/>
      </w:tabs>
      <w:spacing w:after="0" w:line="240" w:lineRule="auto"/>
      <w:ind/>
    </w:pPr>
  </w:style>
  <w:style w:type="character" w:styleId="886">
    <w:name w:val="Footer Char"/>
    <w:basedOn w:val="858"/>
    <w:link w:val="885"/>
    <w:uiPriority w:val="99"/>
    <w:pPr>
      <w:pBdr/>
      <w:spacing/>
      <w:ind/>
    </w:pPr>
  </w:style>
  <w:style w:type="paragraph" w:styleId="887">
    <w:name w:val="Caption"/>
    <w:basedOn w:val="854"/>
    <w:next w:val="854"/>
    <w:uiPriority w:val="35"/>
    <w:unhideWhenUsed/>
    <w:qFormat/>
    <w:pPr>
      <w:pBdr/>
      <w:spacing w:after="200" w:line="240" w:lineRule="auto"/>
      <w:ind/>
    </w:pPr>
    <w:rPr>
      <w:i/>
      <w:iCs/>
      <w:color w:val="0e2841" w:themeColor="text2"/>
      <w:sz w:val="18"/>
      <w:szCs w:val="18"/>
    </w:rPr>
  </w:style>
  <w:style w:type="character" w:styleId="888">
    <w:name w:val="FollowedHyperlink"/>
    <w:basedOn w:val="858"/>
    <w:uiPriority w:val="99"/>
    <w:semiHidden/>
    <w:unhideWhenUsed/>
    <w:pPr>
      <w:pBdr/>
      <w:spacing/>
      <w:ind/>
    </w:pPr>
    <w:rPr>
      <w:color w:val="954f72" w:themeColor="followedHyperlink"/>
      <w:u w:val="single"/>
    </w:rPr>
  </w:style>
  <w:style w:type="paragraph" w:styleId="889">
    <w:name w:val="toc 1"/>
    <w:basedOn w:val="854"/>
    <w:next w:val="854"/>
    <w:uiPriority w:val="39"/>
    <w:unhideWhenUsed/>
    <w:pPr>
      <w:pBdr/>
      <w:spacing w:after="100"/>
      <w:ind/>
    </w:pPr>
  </w:style>
  <w:style w:type="paragraph" w:styleId="890">
    <w:name w:val="toc 2"/>
    <w:basedOn w:val="854"/>
    <w:next w:val="854"/>
    <w:uiPriority w:val="39"/>
    <w:unhideWhenUsed/>
    <w:pPr>
      <w:pBdr/>
      <w:spacing w:after="100"/>
      <w:ind w:left="220"/>
    </w:pPr>
  </w:style>
  <w:style w:type="paragraph" w:styleId="891">
    <w:name w:val="toc 3"/>
    <w:basedOn w:val="854"/>
    <w:next w:val="854"/>
    <w:uiPriority w:val="39"/>
    <w:unhideWhenUsed/>
    <w:pPr>
      <w:pBdr/>
      <w:spacing w:after="100"/>
      <w:ind w:left="440"/>
    </w:pPr>
  </w:style>
  <w:style w:type="paragraph" w:styleId="892">
    <w:name w:val="toc 4"/>
    <w:basedOn w:val="854"/>
    <w:next w:val="854"/>
    <w:uiPriority w:val="39"/>
    <w:unhideWhenUsed/>
    <w:pPr>
      <w:pBdr/>
      <w:spacing w:after="100"/>
      <w:ind w:left="660"/>
    </w:pPr>
  </w:style>
  <w:style w:type="paragraph" w:styleId="893">
    <w:name w:val="toc 5"/>
    <w:basedOn w:val="854"/>
    <w:next w:val="854"/>
    <w:uiPriority w:val="39"/>
    <w:unhideWhenUsed/>
    <w:pPr>
      <w:pBdr/>
      <w:spacing w:after="100"/>
      <w:ind w:left="880"/>
    </w:pPr>
  </w:style>
  <w:style w:type="paragraph" w:styleId="894">
    <w:name w:val="toc 6"/>
    <w:basedOn w:val="854"/>
    <w:next w:val="854"/>
    <w:uiPriority w:val="39"/>
    <w:unhideWhenUsed/>
    <w:pPr>
      <w:pBdr/>
      <w:spacing w:after="100"/>
      <w:ind w:left="1100"/>
    </w:pPr>
  </w:style>
  <w:style w:type="paragraph" w:styleId="895">
    <w:name w:val="toc 7"/>
    <w:basedOn w:val="854"/>
    <w:next w:val="854"/>
    <w:uiPriority w:val="39"/>
    <w:unhideWhenUsed/>
    <w:pPr>
      <w:pBdr/>
      <w:spacing w:after="100"/>
      <w:ind w:left="1320"/>
    </w:pPr>
  </w:style>
  <w:style w:type="paragraph" w:styleId="896">
    <w:name w:val="toc 8"/>
    <w:basedOn w:val="854"/>
    <w:next w:val="854"/>
    <w:uiPriority w:val="39"/>
    <w:unhideWhenUsed/>
    <w:pPr>
      <w:pBdr/>
      <w:spacing w:after="100"/>
      <w:ind w:left="1540"/>
    </w:pPr>
  </w:style>
  <w:style w:type="paragraph" w:styleId="897">
    <w:name w:val="toc 9"/>
    <w:basedOn w:val="854"/>
    <w:next w:val="854"/>
    <w:uiPriority w:val="39"/>
    <w:unhideWhenUsed/>
    <w:pPr>
      <w:pBdr/>
      <w:spacing w:after="100"/>
      <w:ind w:left="1760"/>
    </w:pPr>
  </w:style>
  <w:style w:type="character" w:styleId="898">
    <w:name w:val="Placeholder Text"/>
    <w:basedOn w:val="858"/>
    <w:uiPriority w:val="99"/>
    <w:semiHidden/>
    <w:pPr>
      <w:pBdr/>
      <w:spacing/>
      <w:ind/>
    </w:pPr>
    <w:rPr>
      <w:color w:val="666666"/>
    </w:rPr>
  </w:style>
  <w:style w:type="paragraph" w:styleId="899">
    <w:name w:val="TOC Heading"/>
    <w:uiPriority w:val="39"/>
    <w:unhideWhenUsed/>
    <w:pPr>
      <w:pBdr/>
      <w:spacing/>
      <w:ind/>
    </w:pPr>
  </w:style>
  <w:style w:type="paragraph" w:styleId="900">
    <w:name w:val="table of figures"/>
    <w:basedOn w:val="854"/>
    <w:next w:val="854"/>
    <w:uiPriority w:val="99"/>
    <w:unhideWhenUsed/>
    <w:pPr>
      <w:pBdr/>
      <w:spacing w:after="0" w:afterAutospacing="0"/>
      <w:ind/>
    </w:pPr>
  </w:style>
  <w:style w:type="paragraph" w:styleId="901">
    <w:name w:val="Title"/>
    <w:qFormat/>
    <w:pPr>
      <w:pBdr/>
      <w:spacing/>
      <w:ind/>
    </w:pPr>
    <w:rPr>
      <w:sz w:val="56"/>
      <w:szCs w:val="56"/>
    </w:rPr>
  </w:style>
  <w:style w:type="paragraph" w:styleId="902">
    <w:name w:val="Heading 3"/>
    <w:qFormat/>
    <w:pPr>
      <w:pBdr/>
      <w:spacing/>
      <w:ind/>
    </w:pPr>
    <w:rPr>
      <w:color w:val="1f4d78"/>
      <w:sz w:val="24"/>
      <w:szCs w:val="24"/>
    </w:rPr>
  </w:style>
  <w:style w:type="paragraph" w:styleId="903">
    <w:name w:val="Heading 4"/>
    <w:qFormat/>
    <w:pPr>
      <w:pBdr/>
      <w:spacing/>
      <w:ind/>
    </w:pPr>
    <w:rPr>
      <w:i/>
      <w:iCs/>
      <w:color w:val="2e74b5"/>
    </w:rPr>
  </w:style>
  <w:style w:type="paragraph" w:styleId="904">
    <w:name w:val="Heading 5"/>
    <w:qFormat/>
    <w:pPr>
      <w:pBdr/>
      <w:spacing/>
      <w:ind/>
    </w:pPr>
    <w:rPr>
      <w:color w:val="2e74b5"/>
    </w:rPr>
  </w:style>
  <w:style w:type="paragraph" w:styleId="905">
    <w:name w:val="Heading 6"/>
    <w:qFormat/>
    <w:pPr>
      <w:pBdr/>
      <w:spacing/>
      <w:ind/>
    </w:pPr>
    <w:rPr>
      <w:color w:val="1f4d78"/>
    </w:rPr>
  </w:style>
  <w:style w:type="paragraph" w:styleId="906">
    <w:name w:val="Strong"/>
    <w:qFormat/>
    <w:pPr>
      <w:pBdr/>
      <w:spacing/>
      <w:ind/>
    </w:pPr>
    <w:rPr>
      <w:b/>
      <w:bCs/>
    </w:rPr>
  </w:style>
  <w:style w:type="paragraph" w:styleId="907">
    <w:name w:val="List Paragraph"/>
    <w:qFormat/>
    <w:pPr>
      <w:pBdr/>
      <w:spacing/>
      <w:ind/>
    </w:pPr>
  </w:style>
  <w:style w:type="character" w:styleId="908">
    <w:name w:val="Hyperlink"/>
    <w:uiPriority w:val="99"/>
    <w:unhideWhenUsed/>
    <w:pPr>
      <w:pBdr/>
      <w:spacing/>
      <w:ind/>
    </w:pPr>
    <w:rPr>
      <w:color w:val="0563c1"/>
      <w:u w:val="single"/>
    </w:rPr>
  </w:style>
  <w:style w:type="character" w:styleId="909">
    <w:name w:val="footnote reference"/>
    <w:uiPriority w:val="99"/>
    <w:semiHidden/>
    <w:unhideWhenUsed/>
    <w:pPr>
      <w:pBdr/>
      <w:spacing/>
      <w:ind/>
    </w:pPr>
    <w:rPr>
      <w:vertAlign w:val="superscript"/>
    </w:rPr>
  </w:style>
  <w:style w:type="paragraph" w:styleId="910">
    <w:name w:val="footnote text"/>
    <w:link w:val="911"/>
    <w:uiPriority w:val="99"/>
    <w:semiHidden/>
    <w:unhideWhenUsed/>
    <w:pPr>
      <w:pBdr/>
      <w:spacing w:after="0" w:line="240" w:lineRule="auto"/>
      <w:ind/>
    </w:pPr>
    <w:rPr>
      <w:sz w:val="20"/>
      <w:szCs w:val="20"/>
    </w:rPr>
  </w:style>
  <w:style w:type="character" w:styleId="911">
    <w:name w:val="Footnote Text Char"/>
    <w:link w:val="910"/>
    <w:uiPriority w:val="99"/>
    <w:semiHidden/>
    <w:unhideWhenUsed/>
    <w:pPr>
      <w:pBdr/>
      <w:spacing/>
      <w:ind/>
    </w:pPr>
    <w:rPr>
      <w:sz w:val="20"/>
      <w:szCs w:val="20"/>
    </w:rPr>
  </w:style>
  <w:style w:type="character" w:styleId="912">
    <w:name w:val="endnote reference"/>
    <w:uiPriority w:val="99"/>
    <w:semiHidden/>
    <w:unhideWhenUsed/>
    <w:pPr>
      <w:pBdr/>
      <w:spacing/>
      <w:ind/>
    </w:pPr>
    <w:rPr>
      <w:vertAlign w:val="superscript"/>
    </w:rPr>
  </w:style>
  <w:style w:type="paragraph" w:styleId="913">
    <w:name w:val="endnote text"/>
    <w:link w:val="914"/>
    <w:uiPriority w:val="99"/>
    <w:semiHidden/>
    <w:unhideWhenUsed/>
    <w:pPr>
      <w:pBdr/>
      <w:spacing w:after="0" w:line="240" w:lineRule="auto"/>
      <w:ind/>
    </w:pPr>
    <w:rPr>
      <w:sz w:val="20"/>
      <w:szCs w:val="20"/>
    </w:rPr>
  </w:style>
  <w:style w:type="character" w:styleId="914">
    <w:name w:val="Endnote Text Char"/>
    <w:link w:val="913"/>
    <w:uiPriority w:val="99"/>
    <w:semiHidden/>
    <w:unhideWhenUsed/>
    <w:pPr>
      <w:pBdr/>
      <w:spacing/>
      <w:ind/>
    </w:pPr>
    <w:rPr>
      <w:sz w:val="20"/>
      <w:szCs w:val="20"/>
    </w:rPr>
  </w:style>
  <w:style w:type="paragraph" w:styleId="915">
    <w:name w:val="Heading 1"/>
    <w:qFormat/>
    <w:pPr>
      <w:pBdr/>
      <w:spacing w:after="200" w:before="480"/>
      <w:ind/>
      <w:outlineLvl w:val="0"/>
    </w:pPr>
    <w:rPr>
      <w:rFonts w:ascii="Arial" w:hAnsi="Arial" w:eastAsia="Arial" w:cs="Arial"/>
      <w:b/>
      <w:bCs/>
      <w:color w:val="1f3864"/>
      <w:sz w:val="34"/>
      <w:szCs w:val="34"/>
    </w:rPr>
  </w:style>
  <w:style w:type="paragraph" w:styleId="916">
    <w:name w:val="Heading 2"/>
    <w:qFormat/>
    <w:pPr>
      <w:pBdr/>
      <w:spacing w:after="160" w:before="360"/>
      <w:ind/>
      <w:outlineLvl w:val="1"/>
    </w:pPr>
    <w:rPr>
      <w:rFonts w:ascii="Arial" w:hAnsi="Arial" w:eastAsia="Arial" w:cs="Arial"/>
      <w:b/>
      <w:bCs/>
      <w:color w:val="2e5090"/>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the Bubble: A Framework for Second-Generation LLM Knowledge Architecture</dc:title>
  <dc:creator>[Author Name]</dc:creator>
  <cp:revision>3</cp:revision>
  <dcterms:created xsi:type="dcterms:W3CDTF">2026-05-01T17:14:06Z</dcterms:created>
  <dcterms:modified xsi:type="dcterms:W3CDTF">2026-05-01T20:22:04Z</dcterms:modified>
</cp:coreProperties>
</file>